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E17D" w14:textId="478AB65D" w:rsidR="00AC1972" w:rsidRDefault="0012784C">
      <w:pPr>
        <w:rPr>
          <w:rFonts w:ascii="Arial" w:hAnsi="Arial" w:cs="Arial"/>
          <w:b/>
          <w:bCs/>
          <w:sz w:val="24"/>
          <w:szCs w:val="24"/>
        </w:rPr>
      </w:pPr>
      <w:r>
        <w:rPr>
          <w:rFonts w:ascii="Arial" w:hAnsi="Arial" w:cs="Arial"/>
          <w:b/>
          <w:bCs/>
          <w:sz w:val="24"/>
          <w:szCs w:val="24"/>
        </w:rPr>
        <w:t xml:space="preserve"> </w:t>
      </w:r>
    </w:p>
    <w:p w14:paraId="7072FD80" w14:textId="77777777" w:rsidR="0075293E" w:rsidRPr="006222EB" w:rsidRDefault="0075293E" w:rsidP="0075293E">
      <w:pPr>
        <w:jc w:val="center"/>
        <w:rPr>
          <w:rFonts w:asciiTheme="majorHAnsi" w:hAnsiTheme="majorHAnsi" w:cstheme="majorHAnsi"/>
          <w:b/>
          <w:sz w:val="36"/>
          <w:szCs w:val="36"/>
        </w:rPr>
      </w:pP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t>_</w:t>
      </w:r>
      <w:r w:rsidRPr="006222EB">
        <w:rPr>
          <w:rFonts w:asciiTheme="majorHAnsi" w:hAnsiTheme="majorHAnsi" w:cstheme="majorHAnsi"/>
          <w:b/>
          <w:sz w:val="36"/>
          <w:szCs w:val="36"/>
        </w:rPr>
        <w:softHyphen/>
      </w:r>
      <w:r w:rsidRPr="006222EB">
        <w:rPr>
          <w:rFonts w:asciiTheme="majorHAnsi" w:hAnsiTheme="majorHAnsi" w:cstheme="majorHAnsi"/>
          <w:b/>
          <w:sz w:val="36"/>
          <w:szCs w:val="36"/>
        </w:rPr>
        <w:softHyphen/>
        <w:t>_____________________________</w:t>
      </w:r>
    </w:p>
    <w:p w14:paraId="067417A2" w14:textId="6D922CC5" w:rsidR="0075293E" w:rsidRDefault="0075293E" w:rsidP="0075293E">
      <w:pPr>
        <w:jc w:val="center"/>
        <w:rPr>
          <w:rFonts w:ascii="Century Gothic" w:hAnsi="Century Gothic" w:cstheme="majorHAnsi"/>
          <w:b/>
          <w:sz w:val="48"/>
          <w:szCs w:val="48"/>
        </w:rPr>
      </w:pPr>
      <w:r>
        <w:rPr>
          <w:rFonts w:ascii="Century Gothic" w:hAnsi="Century Gothic" w:cstheme="majorHAnsi"/>
          <w:b/>
          <w:sz w:val="52"/>
          <w:szCs w:val="52"/>
        </w:rPr>
        <w:t xml:space="preserve">Statewide Gas Emerging Technologies </w:t>
      </w:r>
      <w:r w:rsidR="00547142">
        <w:rPr>
          <w:rFonts w:ascii="Century Gothic" w:hAnsi="Century Gothic" w:cstheme="majorHAnsi"/>
          <w:b/>
          <w:sz w:val="52"/>
          <w:szCs w:val="52"/>
        </w:rPr>
        <w:t xml:space="preserve">(GET) </w:t>
      </w:r>
      <w:r>
        <w:rPr>
          <w:rFonts w:ascii="Century Gothic" w:hAnsi="Century Gothic" w:cstheme="majorHAnsi"/>
          <w:b/>
          <w:sz w:val="52"/>
          <w:szCs w:val="52"/>
        </w:rPr>
        <w:t>Program</w:t>
      </w:r>
    </w:p>
    <w:p w14:paraId="2EBB4658" w14:textId="4CC98C7C" w:rsidR="0075293E" w:rsidRPr="00F7524D" w:rsidRDefault="003540DA" w:rsidP="0075293E">
      <w:pPr>
        <w:jc w:val="center"/>
        <w:rPr>
          <w:rFonts w:ascii="Century Gothic" w:hAnsi="Century Gothic" w:cstheme="majorBidi"/>
          <w:b/>
          <w:sz w:val="48"/>
          <w:szCs w:val="48"/>
        </w:rPr>
      </w:pPr>
      <w:r w:rsidRPr="5662333B">
        <w:rPr>
          <w:rFonts w:ascii="Century Gothic" w:hAnsi="Century Gothic" w:cstheme="majorBidi"/>
          <w:b/>
          <w:sz w:val="48"/>
          <w:szCs w:val="48"/>
        </w:rPr>
        <w:t>202</w:t>
      </w:r>
      <w:r w:rsidR="00A07186" w:rsidRPr="5662333B">
        <w:rPr>
          <w:rFonts w:ascii="Century Gothic" w:hAnsi="Century Gothic" w:cstheme="majorBidi"/>
          <w:b/>
          <w:sz w:val="48"/>
          <w:szCs w:val="48"/>
        </w:rPr>
        <w:t>6</w:t>
      </w:r>
      <w:r w:rsidRPr="5662333B">
        <w:rPr>
          <w:rFonts w:ascii="Century Gothic" w:hAnsi="Century Gothic" w:cstheme="majorBidi"/>
          <w:b/>
          <w:sz w:val="48"/>
          <w:szCs w:val="48"/>
        </w:rPr>
        <w:t xml:space="preserve"> </w:t>
      </w:r>
      <w:r w:rsidR="007C7C63" w:rsidRPr="5662333B">
        <w:rPr>
          <w:rFonts w:ascii="Century Gothic" w:hAnsi="Century Gothic" w:cstheme="majorBidi"/>
          <w:b/>
          <w:sz w:val="48"/>
          <w:szCs w:val="48"/>
        </w:rPr>
        <w:t>Annual</w:t>
      </w:r>
      <w:r w:rsidR="0075293E" w:rsidRPr="5662333B">
        <w:rPr>
          <w:rFonts w:ascii="Century Gothic" w:hAnsi="Century Gothic" w:cstheme="majorBidi"/>
          <w:b/>
          <w:sz w:val="48"/>
          <w:szCs w:val="48"/>
        </w:rPr>
        <w:t xml:space="preserve"> Research Plan</w:t>
      </w:r>
      <w:r w:rsidR="00B574EB" w:rsidRPr="5662333B">
        <w:rPr>
          <w:rFonts w:ascii="Century Gothic" w:hAnsi="Century Gothic" w:cstheme="majorBidi"/>
          <w:b/>
          <w:sz w:val="48"/>
          <w:szCs w:val="48"/>
        </w:rPr>
        <w:t xml:space="preserve"> – V1</w:t>
      </w:r>
      <w:r w:rsidR="004917E4" w:rsidRPr="5662333B">
        <w:rPr>
          <w:rFonts w:ascii="Century Gothic" w:hAnsi="Century Gothic" w:cstheme="majorBidi"/>
          <w:b/>
          <w:sz w:val="48"/>
          <w:szCs w:val="48"/>
        </w:rPr>
        <w:t>.</w:t>
      </w:r>
      <w:r w:rsidR="73EF6C60" w:rsidRPr="5662333B">
        <w:rPr>
          <w:rFonts w:ascii="Century Gothic" w:hAnsi="Century Gothic" w:cstheme="majorBidi"/>
          <w:b/>
          <w:bCs/>
          <w:sz w:val="48"/>
          <w:szCs w:val="48"/>
        </w:rPr>
        <w:t>2</w:t>
      </w:r>
    </w:p>
    <w:p w14:paraId="6186630D" w14:textId="77777777" w:rsidR="0075293E" w:rsidRPr="006222EB" w:rsidRDefault="0075293E" w:rsidP="0075293E">
      <w:pPr>
        <w:jc w:val="center"/>
        <w:rPr>
          <w:rFonts w:asciiTheme="majorHAnsi" w:hAnsiTheme="majorHAnsi" w:cstheme="majorHAnsi"/>
          <w:b/>
          <w:sz w:val="36"/>
          <w:szCs w:val="36"/>
        </w:rPr>
      </w:pPr>
      <w:r w:rsidRPr="006222EB">
        <w:rPr>
          <w:rFonts w:asciiTheme="majorHAnsi" w:hAnsiTheme="majorHAnsi" w:cstheme="majorHAnsi"/>
          <w:b/>
          <w:sz w:val="36"/>
          <w:szCs w:val="36"/>
        </w:rPr>
        <w:t>______________________________</w:t>
      </w:r>
    </w:p>
    <w:sdt>
      <w:sdtPr>
        <w:rPr>
          <w:rFonts w:ascii="Calibri" w:eastAsia="Calibri" w:hAnsi="Calibri" w:cs="Calibri"/>
          <w:color w:val="auto"/>
          <w:sz w:val="22"/>
          <w:szCs w:val="22"/>
        </w:rPr>
        <w:id w:val="311988958"/>
        <w:docPartObj>
          <w:docPartGallery w:val="Table of Contents"/>
          <w:docPartUnique/>
        </w:docPartObj>
      </w:sdtPr>
      <w:sdtEndPr>
        <w:rPr>
          <w:b/>
          <w:bCs/>
          <w:noProof/>
        </w:rPr>
      </w:sdtEndPr>
      <w:sdtContent>
        <w:p w14:paraId="5946AC8C" w14:textId="5E5F2655" w:rsidR="00024DBB" w:rsidRPr="00C861C2" w:rsidRDefault="00024DBB">
          <w:pPr>
            <w:pStyle w:val="TOCHeading"/>
            <w:rPr>
              <w:rFonts w:asciiTheme="minorHAnsi" w:hAnsiTheme="minorHAnsi" w:cstheme="minorHAnsi"/>
            </w:rPr>
          </w:pPr>
          <w:r w:rsidRPr="00C861C2">
            <w:rPr>
              <w:rFonts w:asciiTheme="minorHAnsi" w:hAnsiTheme="minorHAnsi" w:cstheme="minorHAnsi"/>
            </w:rPr>
            <w:t>Contents</w:t>
          </w:r>
        </w:p>
        <w:p w14:paraId="6E46FE5A" w14:textId="7AC36226" w:rsidR="008E21DD" w:rsidRDefault="00024DBB">
          <w:pPr>
            <w:pStyle w:val="TOC1"/>
            <w:rPr>
              <w:rFonts w:eastAsiaTheme="minorEastAsia" w:cstheme="minorBidi"/>
              <w:b w:val="0"/>
              <w:bCs w:val="0"/>
              <w:caps w:val="0"/>
              <w:noProof/>
              <w:kern w:val="2"/>
              <w:sz w:val="24"/>
              <w:szCs w:val="24"/>
              <w14:ligatures w14:val="standardContextual"/>
            </w:rPr>
          </w:pPr>
          <w:r w:rsidRPr="00C861C2">
            <w:fldChar w:fldCharType="begin"/>
          </w:r>
          <w:r w:rsidRPr="008F2C3C">
            <w:instrText xml:space="preserve"> TOC \o "1-3" \h \z \u </w:instrText>
          </w:r>
          <w:r w:rsidRPr="00C861C2">
            <w:fldChar w:fldCharType="separate"/>
          </w:r>
          <w:hyperlink w:anchor="_Toc213213537" w:history="1">
            <w:r w:rsidR="008E21DD" w:rsidRPr="004D3BF3">
              <w:rPr>
                <w:rStyle w:val="Hyperlink"/>
                <w:noProof/>
              </w:rPr>
              <w:t>Background</w:t>
            </w:r>
            <w:r w:rsidR="008E21DD">
              <w:rPr>
                <w:noProof/>
                <w:webHidden/>
              </w:rPr>
              <w:tab/>
            </w:r>
            <w:r w:rsidR="008E21DD">
              <w:rPr>
                <w:noProof/>
                <w:webHidden/>
              </w:rPr>
              <w:fldChar w:fldCharType="begin"/>
            </w:r>
            <w:r w:rsidR="008E21DD">
              <w:rPr>
                <w:noProof/>
                <w:webHidden/>
              </w:rPr>
              <w:instrText xml:space="preserve"> PAGEREF _Toc213213537 \h </w:instrText>
            </w:r>
            <w:r w:rsidR="008E21DD">
              <w:rPr>
                <w:noProof/>
                <w:webHidden/>
              </w:rPr>
            </w:r>
            <w:r w:rsidR="008E21DD">
              <w:rPr>
                <w:noProof/>
                <w:webHidden/>
              </w:rPr>
              <w:fldChar w:fldCharType="separate"/>
            </w:r>
            <w:r w:rsidR="008E21DD">
              <w:rPr>
                <w:noProof/>
                <w:webHidden/>
              </w:rPr>
              <w:t>2</w:t>
            </w:r>
            <w:r w:rsidR="008E21DD">
              <w:rPr>
                <w:noProof/>
                <w:webHidden/>
              </w:rPr>
              <w:fldChar w:fldCharType="end"/>
            </w:r>
          </w:hyperlink>
        </w:p>
        <w:p w14:paraId="3498B1D1" w14:textId="78AC72F8" w:rsidR="008E21DD" w:rsidRDefault="008E21DD">
          <w:pPr>
            <w:pStyle w:val="TOC1"/>
            <w:rPr>
              <w:rFonts w:eastAsiaTheme="minorEastAsia" w:cstheme="minorBidi"/>
              <w:b w:val="0"/>
              <w:bCs w:val="0"/>
              <w:caps w:val="0"/>
              <w:noProof/>
              <w:kern w:val="2"/>
              <w:sz w:val="24"/>
              <w:szCs w:val="24"/>
              <w14:ligatures w14:val="standardContextual"/>
            </w:rPr>
          </w:pPr>
          <w:hyperlink w:anchor="_Toc213213538" w:history="1">
            <w:r w:rsidRPr="004D3BF3">
              <w:rPr>
                <w:rStyle w:val="Hyperlink"/>
                <w:noProof/>
              </w:rPr>
              <w:t>GET Program Vision</w:t>
            </w:r>
            <w:r>
              <w:rPr>
                <w:noProof/>
                <w:webHidden/>
              </w:rPr>
              <w:tab/>
            </w:r>
            <w:r>
              <w:rPr>
                <w:noProof/>
                <w:webHidden/>
              </w:rPr>
              <w:fldChar w:fldCharType="begin"/>
            </w:r>
            <w:r>
              <w:rPr>
                <w:noProof/>
                <w:webHidden/>
              </w:rPr>
              <w:instrText xml:space="preserve"> PAGEREF _Toc213213538 \h </w:instrText>
            </w:r>
            <w:r>
              <w:rPr>
                <w:noProof/>
                <w:webHidden/>
              </w:rPr>
            </w:r>
            <w:r>
              <w:rPr>
                <w:noProof/>
                <w:webHidden/>
              </w:rPr>
              <w:fldChar w:fldCharType="separate"/>
            </w:r>
            <w:r>
              <w:rPr>
                <w:noProof/>
                <w:webHidden/>
              </w:rPr>
              <w:t>9</w:t>
            </w:r>
            <w:r>
              <w:rPr>
                <w:noProof/>
                <w:webHidden/>
              </w:rPr>
              <w:fldChar w:fldCharType="end"/>
            </w:r>
          </w:hyperlink>
        </w:p>
        <w:p w14:paraId="60EA60C9" w14:textId="0BC3DD4B" w:rsidR="008E21DD" w:rsidRDefault="008E21DD">
          <w:pPr>
            <w:pStyle w:val="TOC1"/>
            <w:rPr>
              <w:rFonts w:eastAsiaTheme="minorEastAsia" w:cstheme="minorBidi"/>
              <w:b w:val="0"/>
              <w:bCs w:val="0"/>
              <w:caps w:val="0"/>
              <w:noProof/>
              <w:kern w:val="2"/>
              <w:sz w:val="24"/>
              <w:szCs w:val="24"/>
              <w14:ligatures w14:val="standardContextual"/>
            </w:rPr>
          </w:pPr>
          <w:hyperlink w:anchor="_Toc213213539" w:history="1">
            <w:r w:rsidRPr="004D3BF3">
              <w:rPr>
                <w:rStyle w:val="Hyperlink"/>
                <w:noProof/>
              </w:rPr>
              <w:t>Purpose of the Research Plan</w:t>
            </w:r>
            <w:r>
              <w:rPr>
                <w:noProof/>
                <w:webHidden/>
              </w:rPr>
              <w:tab/>
            </w:r>
            <w:r>
              <w:rPr>
                <w:noProof/>
                <w:webHidden/>
              </w:rPr>
              <w:fldChar w:fldCharType="begin"/>
            </w:r>
            <w:r>
              <w:rPr>
                <w:noProof/>
                <w:webHidden/>
              </w:rPr>
              <w:instrText xml:space="preserve"> PAGEREF _Toc213213539 \h </w:instrText>
            </w:r>
            <w:r>
              <w:rPr>
                <w:noProof/>
                <w:webHidden/>
              </w:rPr>
            </w:r>
            <w:r>
              <w:rPr>
                <w:noProof/>
                <w:webHidden/>
              </w:rPr>
              <w:fldChar w:fldCharType="separate"/>
            </w:r>
            <w:r>
              <w:rPr>
                <w:noProof/>
                <w:webHidden/>
              </w:rPr>
              <w:t>9</w:t>
            </w:r>
            <w:r>
              <w:rPr>
                <w:noProof/>
                <w:webHidden/>
              </w:rPr>
              <w:fldChar w:fldCharType="end"/>
            </w:r>
          </w:hyperlink>
        </w:p>
        <w:p w14:paraId="1A8FF243" w14:textId="3C40CACD" w:rsidR="008E21DD" w:rsidRDefault="008E21DD">
          <w:pPr>
            <w:pStyle w:val="TOC1"/>
            <w:rPr>
              <w:rFonts w:eastAsiaTheme="minorEastAsia" w:cstheme="minorBidi"/>
              <w:b w:val="0"/>
              <w:bCs w:val="0"/>
              <w:caps w:val="0"/>
              <w:noProof/>
              <w:kern w:val="2"/>
              <w:sz w:val="24"/>
              <w:szCs w:val="24"/>
              <w14:ligatures w14:val="standardContextual"/>
            </w:rPr>
          </w:pPr>
          <w:hyperlink w:anchor="_Toc213213540" w:history="1">
            <w:r w:rsidRPr="004D3BF3">
              <w:rPr>
                <w:rStyle w:val="Hyperlink"/>
                <w:noProof/>
              </w:rPr>
              <w:t>Development of the Plan</w:t>
            </w:r>
            <w:r>
              <w:rPr>
                <w:noProof/>
                <w:webHidden/>
              </w:rPr>
              <w:tab/>
            </w:r>
            <w:r>
              <w:rPr>
                <w:noProof/>
                <w:webHidden/>
              </w:rPr>
              <w:fldChar w:fldCharType="begin"/>
            </w:r>
            <w:r>
              <w:rPr>
                <w:noProof/>
                <w:webHidden/>
              </w:rPr>
              <w:instrText xml:space="preserve"> PAGEREF _Toc213213540 \h </w:instrText>
            </w:r>
            <w:r>
              <w:rPr>
                <w:noProof/>
                <w:webHidden/>
              </w:rPr>
            </w:r>
            <w:r>
              <w:rPr>
                <w:noProof/>
                <w:webHidden/>
              </w:rPr>
              <w:fldChar w:fldCharType="separate"/>
            </w:r>
            <w:r>
              <w:rPr>
                <w:noProof/>
                <w:webHidden/>
              </w:rPr>
              <w:t>10</w:t>
            </w:r>
            <w:r>
              <w:rPr>
                <w:noProof/>
                <w:webHidden/>
              </w:rPr>
              <w:fldChar w:fldCharType="end"/>
            </w:r>
          </w:hyperlink>
        </w:p>
        <w:p w14:paraId="1F4DB5C1" w14:textId="489CD523" w:rsidR="008E21DD" w:rsidRDefault="008E21DD">
          <w:pPr>
            <w:pStyle w:val="TOC1"/>
            <w:rPr>
              <w:rFonts w:eastAsiaTheme="minorEastAsia" w:cstheme="minorBidi"/>
              <w:b w:val="0"/>
              <w:bCs w:val="0"/>
              <w:caps w:val="0"/>
              <w:noProof/>
              <w:kern w:val="2"/>
              <w:sz w:val="24"/>
              <w:szCs w:val="24"/>
              <w14:ligatures w14:val="standardContextual"/>
            </w:rPr>
          </w:pPr>
          <w:hyperlink w:anchor="_Toc213213541" w:history="1">
            <w:r w:rsidRPr="004D3BF3">
              <w:rPr>
                <w:rStyle w:val="Hyperlink"/>
                <w:noProof/>
              </w:rPr>
              <w:t>Managing the Plan</w:t>
            </w:r>
            <w:r>
              <w:rPr>
                <w:noProof/>
                <w:webHidden/>
              </w:rPr>
              <w:tab/>
            </w:r>
            <w:r>
              <w:rPr>
                <w:noProof/>
                <w:webHidden/>
              </w:rPr>
              <w:fldChar w:fldCharType="begin"/>
            </w:r>
            <w:r>
              <w:rPr>
                <w:noProof/>
                <w:webHidden/>
              </w:rPr>
              <w:instrText xml:space="preserve"> PAGEREF _Toc213213541 \h </w:instrText>
            </w:r>
            <w:r>
              <w:rPr>
                <w:noProof/>
                <w:webHidden/>
              </w:rPr>
            </w:r>
            <w:r>
              <w:rPr>
                <w:noProof/>
                <w:webHidden/>
              </w:rPr>
              <w:fldChar w:fldCharType="separate"/>
            </w:r>
            <w:r>
              <w:rPr>
                <w:noProof/>
                <w:webHidden/>
              </w:rPr>
              <w:t>10</w:t>
            </w:r>
            <w:r>
              <w:rPr>
                <w:noProof/>
                <w:webHidden/>
              </w:rPr>
              <w:fldChar w:fldCharType="end"/>
            </w:r>
          </w:hyperlink>
        </w:p>
        <w:p w14:paraId="0342768C" w14:textId="55252B3A" w:rsidR="008E21DD" w:rsidRDefault="008E21DD">
          <w:pPr>
            <w:pStyle w:val="TOC1"/>
            <w:rPr>
              <w:rFonts w:eastAsiaTheme="minorEastAsia" w:cstheme="minorBidi"/>
              <w:b w:val="0"/>
              <w:bCs w:val="0"/>
              <w:caps w:val="0"/>
              <w:noProof/>
              <w:kern w:val="2"/>
              <w:sz w:val="24"/>
              <w:szCs w:val="24"/>
              <w14:ligatures w14:val="standardContextual"/>
            </w:rPr>
          </w:pPr>
          <w:hyperlink w:anchor="_Toc213213542" w:history="1">
            <w:r w:rsidRPr="004D3BF3">
              <w:rPr>
                <w:rStyle w:val="Hyperlink"/>
                <w:noProof/>
              </w:rPr>
              <w:t>2022-2025 Research Outcomes &amp; Findings</w:t>
            </w:r>
            <w:r>
              <w:rPr>
                <w:noProof/>
                <w:webHidden/>
              </w:rPr>
              <w:tab/>
            </w:r>
            <w:r>
              <w:rPr>
                <w:noProof/>
                <w:webHidden/>
              </w:rPr>
              <w:fldChar w:fldCharType="begin"/>
            </w:r>
            <w:r>
              <w:rPr>
                <w:noProof/>
                <w:webHidden/>
              </w:rPr>
              <w:instrText xml:space="preserve"> PAGEREF _Toc213213542 \h </w:instrText>
            </w:r>
            <w:r>
              <w:rPr>
                <w:noProof/>
                <w:webHidden/>
              </w:rPr>
            </w:r>
            <w:r>
              <w:rPr>
                <w:noProof/>
                <w:webHidden/>
              </w:rPr>
              <w:fldChar w:fldCharType="separate"/>
            </w:r>
            <w:r>
              <w:rPr>
                <w:noProof/>
                <w:webHidden/>
              </w:rPr>
              <w:t>10</w:t>
            </w:r>
            <w:r>
              <w:rPr>
                <w:noProof/>
                <w:webHidden/>
              </w:rPr>
              <w:fldChar w:fldCharType="end"/>
            </w:r>
          </w:hyperlink>
        </w:p>
        <w:p w14:paraId="27CA8CA3" w14:textId="04B75DF5" w:rsidR="008E21DD" w:rsidRDefault="008E21DD">
          <w:pPr>
            <w:pStyle w:val="TOC1"/>
            <w:rPr>
              <w:rFonts w:eastAsiaTheme="minorEastAsia" w:cstheme="minorBidi"/>
              <w:b w:val="0"/>
              <w:bCs w:val="0"/>
              <w:caps w:val="0"/>
              <w:noProof/>
              <w:kern w:val="2"/>
              <w:sz w:val="24"/>
              <w:szCs w:val="24"/>
              <w14:ligatures w14:val="standardContextual"/>
            </w:rPr>
          </w:pPr>
          <w:hyperlink w:anchor="_Toc213213543" w:history="1">
            <w:r w:rsidRPr="004D3BF3">
              <w:rPr>
                <w:rStyle w:val="Hyperlink"/>
                <w:noProof/>
              </w:rPr>
              <w:t>2026 Research Goals</w:t>
            </w:r>
            <w:r>
              <w:rPr>
                <w:noProof/>
                <w:webHidden/>
              </w:rPr>
              <w:tab/>
            </w:r>
            <w:r>
              <w:rPr>
                <w:noProof/>
                <w:webHidden/>
              </w:rPr>
              <w:fldChar w:fldCharType="begin"/>
            </w:r>
            <w:r>
              <w:rPr>
                <w:noProof/>
                <w:webHidden/>
              </w:rPr>
              <w:instrText xml:space="preserve"> PAGEREF _Toc213213543 \h </w:instrText>
            </w:r>
            <w:r>
              <w:rPr>
                <w:noProof/>
                <w:webHidden/>
              </w:rPr>
            </w:r>
            <w:r>
              <w:rPr>
                <w:noProof/>
                <w:webHidden/>
              </w:rPr>
              <w:fldChar w:fldCharType="separate"/>
            </w:r>
            <w:r>
              <w:rPr>
                <w:noProof/>
                <w:webHidden/>
              </w:rPr>
              <w:t>11</w:t>
            </w:r>
            <w:r>
              <w:rPr>
                <w:noProof/>
                <w:webHidden/>
              </w:rPr>
              <w:fldChar w:fldCharType="end"/>
            </w:r>
          </w:hyperlink>
        </w:p>
        <w:p w14:paraId="20821067" w14:textId="498F3A6C" w:rsidR="008E21DD" w:rsidRDefault="008E21DD">
          <w:pPr>
            <w:pStyle w:val="TOC2"/>
            <w:rPr>
              <w:rFonts w:asciiTheme="minorHAnsi" w:eastAsiaTheme="minorEastAsia" w:hAnsiTheme="minorHAnsi" w:cstheme="minorBidi"/>
              <w:smallCaps w:val="0"/>
              <w:kern w:val="2"/>
              <w:sz w:val="24"/>
              <w:szCs w:val="24"/>
              <w14:ligatures w14:val="standardContextual"/>
            </w:rPr>
          </w:pPr>
          <w:hyperlink w:anchor="_Toc213213544" w:history="1">
            <w:r w:rsidRPr="004D3BF3">
              <w:rPr>
                <w:rStyle w:val="Hyperlink"/>
              </w:rPr>
              <w:t>1.</w:t>
            </w:r>
            <w:r>
              <w:rPr>
                <w:rFonts w:asciiTheme="minorHAnsi" w:eastAsiaTheme="minorEastAsia" w:hAnsiTheme="minorHAnsi" w:cstheme="minorBidi"/>
                <w:smallCaps w:val="0"/>
                <w:kern w:val="2"/>
                <w:sz w:val="24"/>
                <w:szCs w:val="24"/>
                <w14:ligatures w14:val="standardContextual"/>
              </w:rPr>
              <w:tab/>
            </w:r>
            <w:r w:rsidRPr="004D3BF3">
              <w:rPr>
                <w:rStyle w:val="Hyperlink"/>
              </w:rPr>
              <w:t>Water Heating Technologies</w:t>
            </w:r>
            <w:r>
              <w:rPr>
                <w:webHidden/>
              </w:rPr>
              <w:tab/>
            </w:r>
            <w:r>
              <w:rPr>
                <w:webHidden/>
              </w:rPr>
              <w:fldChar w:fldCharType="begin"/>
            </w:r>
            <w:r>
              <w:rPr>
                <w:webHidden/>
              </w:rPr>
              <w:instrText xml:space="preserve"> PAGEREF _Toc213213544 \h </w:instrText>
            </w:r>
            <w:r>
              <w:rPr>
                <w:webHidden/>
              </w:rPr>
            </w:r>
            <w:r>
              <w:rPr>
                <w:webHidden/>
              </w:rPr>
              <w:fldChar w:fldCharType="separate"/>
            </w:r>
            <w:r>
              <w:rPr>
                <w:webHidden/>
              </w:rPr>
              <w:t>11</w:t>
            </w:r>
            <w:r>
              <w:rPr>
                <w:webHidden/>
              </w:rPr>
              <w:fldChar w:fldCharType="end"/>
            </w:r>
          </w:hyperlink>
        </w:p>
        <w:p w14:paraId="38BBF8F7" w14:textId="0AA2A948"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45" w:history="1">
            <w:r w:rsidRPr="004D3BF3">
              <w:rPr>
                <w:rStyle w:val="Hyperlink"/>
                <w:noProof/>
              </w:rPr>
              <w:t>Goal 1.1: Improve adoption of existing water heating technologies in multiple market segments</w:t>
            </w:r>
            <w:r>
              <w:rPr>
                <w:noProof/>
                <w:webHidden/>
              </w:rPr>
              <w:tab/>
            </w:r>
            <w:r>
              <w:rPr>
                <w:noProof/>
                <w:webHidden/>
              </w:rPr>
              <w:fldChar w:fldCharType="begin"/>
            </w:r>
            <w:r>
              <w:rPr>
                <w:noProof/>
                <w:webHidden/>
              </w:rPr>
              <w:instrText xml:space="preserve"> PAGEREF _Toc213213545 \h </w:instrText>
            </w:r>
            <w:r>
              <w:rPr>
                <w:noProof/>
                <w:webHidden/>
              </w:rPr>
            </w:r>
            <w:r>
              <w:rPr>
                <w:noProof/>
                <w:webHidden/>
              </w:rPr>
              <w:fldChar w:fldCharType="separate"/>
            </w:r>
            <w:r>
              <w:rPr>
                <w:noProof/>
                <w:webHidden/>
              </w:rPr>
              <w:t>11</w:t>
            </w:r>
            <w:r>
              <w:rPr>
                <w:noProof/>
                <w:webHidden/>
              </w:rPr>
              <w:fldChar w:fldCharType="end"/>
            </w:r>
          </w:hyperlink>
        </w:p>
        <w:p w14:paraId="1E4AE264" w14:textId="79521484"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46" w:history="1">
            <w:r w:rsidRPr="004D3BF3">
              <w:rPr>
                <w:rStyle w:val="Hyperlink"/>
                <w:noProof/>
              </w:rPr>
              <w:t>Goal 1.2: Provide data for updated and new measure offerings of emerging water heating technologies</w:t>
            </w:r>
            <w:r>
              <w:rPr>
                <w:noProof/>
                <w:webHidden/>
              </w:rPr>
              <w:tab/>
            </w:r>
            <w:r>
              <w:rPr>
                <w:noProof/>
                <w:webHidden/>
              </w:rPr>
              <w:fldChar w:fldCharType="begin"/>
            </w:r>
            <w:r>
              <w:rPr>
                <w:noProof/>
                <w:webHidden/>
              </w:rPr>
              <w:instrText xml:space="preserve"> PAGEREF _Toc213213546 \h </w:instrText>
            </w:r>
            <w:r>
              <w:rPr>
                <w:noProof/>
                <w:webHidden/>
              </w:rPr>
            </w:r>
            <w:r>
              <w:rPr>
                <w:noProof/>
                <w:webHidden/>
              </w:rPr>
              <w:fldChar w:fldCharType="separate"/>
            </w:r>
            <w:r>
              <w:rPr>
                <w:noProof/>
                <w:webHidden/>
              </w:rPr>
              <w:t>11</w:t>
            </w:r>
            <w:r>
              <w:rPr>
                <w:noProof/>
                <w:webHidden/>
              </w:rPr>
              <w:fldChar w:fldCharType="end"/>
            </w:r>
          </w:hyperlink>
        </w:p>
        <w:p w14:paraId="39DBD4D2" w14:textId="1A42E7E2"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47" w:history="1">
            <w:r w:rsidRPr="004D3BF3">
              <w:rPr>
                <w:rStyle w:val="Hyperlink"/>
                <w:noProof/>
              </w:rPr>
              <w:t>Goal 1.3: Advance modeling and design tools for emerging GAHP technologies</w:t>
            </w:r>
            <w:r>
              <w:rPr>
                <w:noProof/>
                <w:webHidden/>
              </w:rPr>
              <w:tab/>
            </w:r>
            <w:r>
              <w:rPr>
                <w:noProof/>
                <w:webHidden/>
              </w:rPr>
              <w:fldChar w:fldCharType="begin"/>
            </w:r>
            <w:r>
              <w:rPr>
                <w:noProof/>
                <w:webHidden/>
              </w:rPr>
              <w:instrText xml:space="preserve"> PAGEREF _Toc213213547 \h </w:instrText>
            </w:r>
            <w:r>
              <w:rPr>
                <w:noProof/>
                <w:webHidden/>
              </w:rPr>
            </w:r>
            <w:r>
              <w:rPr>
                <w:noProof/>
                <w:webHidden/>
              </w:rPr>
              <w:fldChar w:fldCharType="separate"/>
            </w:r>
            <w:r>
              <w:rPr>
                <w:noProof/>
                <w:webHidden/>
              </w:rPr>
              <w:t>14</w:t>
            </w:r>
            <w:r>
              <w:rPr>
                <w:noProof/>
                <w:webHidden/>
              </w:rPr>
              <w:fldChar w:fldCharType="end"/>
            </w:r>
          </w:hyperlink>
        </w:p>
        <w:p w14:paraId="4180427F" w14:textId="439FC92B"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48" w:history="1">
            <w:r w:rsidRPr="004D3BF3">
              <w:rPr>
                <w:rStyle w:val="Hyperlink"/>
                <w:noProof/>
              </w:rPr>
              <w:t>Goal 1.4 Analyze potential for GAHP applications for Pool heating</w:t>
            </w:r>
            <w:r>
              <w:rPr>
                <w:noProof/>
                <w:webHidden/>
              </w:rPr>
              <w:tab/>
            </w:r>
            <w:r>
              <w:rPr>
                <w:noProof/>
                <w:webHidden/>
              </w:rPr>
              <w:fldChar w:fldCharType="begin"/>
            </w:r>
            <w:r>
              <w:rPr>
                <w:noProof/>
                <w:webHidden/>
              </w:rPr>
              <w:instrText xml:space="preserve"> PAGEREF _Toc213213548 \h </w:instrText>
            </w:r>
            <w:r>
              <w:rPr>
                <w:noProof/>
                <w:webHidden/>
              </w:rPr>
            </w:r>
            <w:r>
              <w:rPr>
                <w:noProof/>
                <w:webHidden/>
              </w:rPr>
              <w:fldChar w:fldCharType="separate"/>
            </w:r>
            <w:r>
              <w:rPr>
                <w:noProof/>
                <w:webHidden/>
              </w:rPr>
              <w:t>15</w:t>
            </w:r>
            <w:r>
              <w:rPr>
                <w:noProof/>
                <w:webHidden/>
              </w:rPr>
              <w:fldChar w:fldCharType="end"/>
            </w:r>
          </w:hyperlink>
        </w:p>
        <w:p w14:paraId="7083E38A" w14:textId="525C5039"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49" w:history="1">
            <w:r w:rsidRPr="004D3BF3">
              <w:rPr>
                <w:rStyle w:val="Hyperlink"/>
                <w:noProof/>
              </w:rPr>
              <w:t>Goal 1.5: Evaluate Behavioral Water and Energy Feedback Devices</w:t>
            </w:r>
            <w:r>
              <w:rPr>
                <w:noProof/>
                <w:webHidden/>
              </w:rPr>
              <w:tab/>
            </w:r>
            <w:r>
              <w:rPr>
                <w:noProof/>
                <w:webHidden/>
              </w:rPr>
              <w:fldChar w:fldCharType="begin"/>
            </w:r>
            <w:r>
              <w:rPr>
                <w:noProof/>
                <w:webHidden/>
              </w:rPr>
              <w:instrText xml:space="preserve"> PAGEREF _Toc213213549 \h </w:instrText>
            </w:r>
            <w:r>
              <w:rPr>
                <w:noProof/>
                <w:webHidden/>
              </w:rPr>
            </w:r>
            <w:r>
              <w:rPr>
                <w:noProof/>
                <w:webHidden/>
              </w:rPr>
              <w:fldChar w:fldCharType="separate"/>
            </w:r>
            <w:r>
              <w:rPr>
                <w:noProof/>
                <w:webHidden/>
              </w:rPr>
              <w:t>15</w:t>
            </w:r>
            <w:r>
              <w:rPr>
                <w:noProof/>
                <w:webHidden/>
              </w:rPr>
              <w:fldChar w:fldCharType="end"/>
            </w:r>
          </w:hyperlink>
        </w:p>
        <w:p w14:paraId="0EBD2A6F" w14:textId="220D3C3B" w:rsidR="008E21DD" w:rsidRDefault="008E21DD">
          <w:pPr>
            <w:pStyle w:val="TOC2"/>
            <w:rPr>
              <w:rFonts w:asciiTheme="minorHAnsi" w:eastAsiaTheme="minorEastAsia" w:hAnsiTheme="minorHAnsi" w:cstheme="minorBidi"/>
              <w:smallCaps w:val="0"/>
              <w:kern w:val="2"/>
              <w:sz w:val="24"/>
              <w:szCs w:val="24"/>
              <w14:ligatures w14:val="standardContextual"/>
            </w:rPr>
          </w:pPr>
          <w:hyperlink w:anchor="_Toc213213550" w:history="1">
            <w:r w:rsidRPr="004D3BF3">
              <w:rPr>
                <w:rStyle w:val="Hyperlink"/>
              </w:rPr>
              <w:t>2.</w:t>
            </w:r>
            <w:r>
              <w:rPr>
                <w:rFonts w:asciiTheme="minorHAnsi" w:eastAsiaTheme="minorEastAsia" w:hAnsiTheme="minorHAnsi" w:cstheme="minorBidi"/>
                <w:smallCaps w:val="0"/>
                <w:kern w:val="2"/>
                <w:sz w:val="24"/>
                <w:szCs w:val="24"/>
                <w14:ligatures w14:val="standardContextual"/>
              </w:rPr>
              <w:tab/>
            </w:r>
            <w:r w:rsidRPr="004D3BF3">
              <w:rPr>
                <w:rStyle w:val="Hyperlink"/>
              </w:rPr>
              <w:t>HVAC</w:t>
            </w:r>
            <w:r>
              <w:rPr>
                <w:webHidden/>
              </w:rPr>
              <w:tab/>
            </w:r>
            <w:r>
              <w:rPr>
                <w:webHidden/>
              </w:rPr>
              <w:fldChar w:fldCharType="begin"/>
            </w:r>
            <w:r>
              <w:rPr>
                <w:webHidden/>
              </w:rPr>
              <w:instrText xml:space="preserve"> PAGEREF _Toc213213550 \h </w:instrText>
            </w:r>
            <w:r>
              <w:rPr>
                <w:webHidden/>
              </w:rPr>
            </w:r>
            <w:r>
              <w:rPr>
                <w:webHidden/>
              </w:rPr>
              <w:fldChar w:fldCharType="separate"/>
            </w:r>
            <w:r>
              <w:rPr>
                <w:webHidden/>
              </w:rPr>
              <w:t>16</w:t>
            </w:r>
            <w:r>
              <w:rPr>
                <w:webHidden/>
              </w:rPr>
              <w:fldChar w:fldCharType="end"/>
            </w:r>
          </w:hyperlink>
        </w:p>
        <w:p w14:paraId="0A119D33" w14:textId="6AE4122B"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1" w:history="1">
            <w:r w:rsidRPr="004D3BF3">
              <w:rPr>
                <w:rStyle w:val="Hyperlink"/>
                <w:noProof/>
              </w:rPr>
              <w:t>Goal 2.1: Explore the application of combi systems in California</w:t>
            </w:r>
            <w:r>
              <w:rPr>
                <w:noProof/>
                <w:webHidden/>
              </w:rPr>
              <w:tab/>
            </w:r>
            <w:r>
              <w:rPr>
                <w:noProof/>
                <w:webHidden/>
              </w:rPr>
              <w:fldChar w:fldCharType="begin"/>
            </w:r>
            <w:r>
              <w:rPr>
                <w:noProof/>
                <w:webHidden/>
              </w:rPr>
              <w:instrText xml:space="preserve"> PAGEREF _Toc213213551 \h </w:instrText>
            </w:r>
            <w:r>
              <w:rPr>
                <w:noProof/>
                <w:webHidden/>
              </w:rPr>
            </w:r>
            <w:r>
              <w:rPr>
                <w:noProof/>
                <w:webHidden/>
              </w:rPr>
              <w:fldChar w:fldCharType="separate"/>
            </w:r>
            <w:r>
              <w:rPr>
                <w:noProof/>
                <w:webHidden/>
              </w:rPr>
              <w:t>16</w:t>
            </w:r>
            <w:r>
              <w:rPr>
                <w:noProof/>
                <w:webHidden/>
              </w:rPr>
              <w:fldChar w:fldCharType="end"/>
            </w:r>
          </w:hyperlink>
        </w:p>
        <w:p w14:paraId="60C85BD5" w14:textId="0BE692E0"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2" w:history="1">
            <w:r w:rsidRPr="004D3BF3">
              <w:rPr>
                <w:rStyle w:val="Hyperlink"/>
                <w:noProof/>
              </w:rPr>
              <w:t>Goal 2.2: Explore Gas Furnace Optimization Measures</w:t>
            </w:r>
            <w:r>
              <w:rPr>
                <w:noProof/>
                <w:webHidden/>
              </w:rPr>
              <w:tab/>
            </w:r>
            <w:r>
              <w:rPr>
                <w:noProof/>
                <w:webHidden/>
              </w:rPr>
              <w:fldChar w:fldCharType="begin"/>
            </w:r>
            <w:r>
              <w:rPr>
                <w:noProof/>
                <w:webHidden/>
              </w:rPr>
              <w:instrText xml:space="preserve"> PAGEREF _Toc213213552 \h </w:instrText>
            </w:r>
            <w:r>
              <w:rPr>
                <w:noProof/>
                <w:webHidden/>
              </w:rPr>
            </w:r>
            <w:r>
              <w:rPr>
                <w:noProof/>
                <w:webHidden/>
              </w:rPr>
              <w:fldChar w:fldCharType="separate"/>
            </w:r>
            <w:r>
              <w:rPr>
                <w:noProof/>
                <w:webHidden/>
              </w:rPr>
              <w:t>17</w:t>
            </w:r>
            <w:r>
              <w:rPr>
                <w:noProof/>
                <w:webHidden/>
              </w:rPr>
              <w:fldChar w:fldCharType="end"/>
            </w:r>
          </w:hyperlink>
        </w:p>
        <w:p w14:paraId="0177DDF6" w14:textId="5876B7E9" w:rsidR="008E21DD" w:rsidRDefault="008E21DD">
          <w:pPr>
            <w:pStyle w:val="TOC2"/>
            <w:rPr>
              <w:rFonts w:asciiTheme="minorHAnsi" w:eastAsiaTheme="minorEastAsia" w:hAnsiTheme="minorHAnsi" w:cstheme="minorBidi"/>
              <w:smallCaps w:val="0"/>
              <w:kern w:val="2"/>
              <w:sz w:val="24"/>
              <w:szCs w:val="24"/>
              <w14:ligatures w14:val="standardContextual"/>
            </w:rPr>
          </w:pPr>
          <w:hyperlink w:anchor="_Toc213213553" w:history="1">
            <w:r w:rsidRPr="004D3BF3">
              <w:rPr>
                <w:rStyle w:val="Hyperlink"/>
              </w:rPr>
              <w:t>3.</w:t>
            </w:r>
            <w:r>
              <w:rPr>
                <w:rFonts w:asciiTheme="minorHAnsi" w:eastAsiaTheme="minorEastAsia" w:hAnsiTheme="minorHAnsi" w:cstheme="minorBidi"/>
                <w:smallCaps w:val="0"/>
                <w:kern w:val="2"/>
                <w:sz w:val="24"/>
                <w:szCs w:val="24"/>
                <w14:ligatures w14:val="standardContextual"/>
              </w:rPr>
              <w:tab/>
            </w:r>
            <w:r w:rsidRPr="004D3BF3">
              <w:rPr>
                <w:rStyle w:val="Hyperlink"/>
              </w:rPr>
              <w:t>Commercial Foodservice</w:t>
            </w:r>
            <w:r>
              <w:rPr>
                <w:webHidden/>
              </w:rPr>
              <w:tab/>
            </w:r>
            <w:r>
              <w:rPr>
                <w:webHidden/>
              </w:rPr>
              <w:fldChar w:fldCharType="begin"/>
            </w:r>
            <w:r>
              <w:rPr>
                <w:webHidden/>
              </w:rPr>
              <w:instrText xml:space="preserve"> PAGEREF _Toc213213553 \h </w:instrText>
            </w:r>
            <w:r>
              <w:rPr>
                <w:webHidden/>
              </w:rPr>
            </w:r>
            <w:r>
              <w:rPr>
                <w:webHidden/>
              </w:rPr>
              <w:fldChar w:fldCharType="separate"/>
            </w:r>
            <w:r>
              <w:rPr>
                <w:webHidden/>
              </w:rPr>
              <w:t>17</w:t>
            </w:r>
            <w:r>
              <w:rPr>
                <w:webHidden/>
              </w:rPr>
              <w:fldChar w:fldCharType="end"/>
            </w:r>
          </w:hyperlink>
        </w:p>
        <w:p w14:paraId="6E8AE933" w14:textId="36E7DDF3"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4" w:history="1">
            <w:r w:rsidRPr="004D3BF3">
              <w:rPr>
                <w:rStyle w:val="Hyperlink"/>
                <w:noProof/>
              </w:rPr>
              <w:t>Goal 3.1: Analyze GHG Intensity of Gas-Fired Cooking Equipment</w:t>
            </w:r>
            <w:r>
              <w:rPr>
                <w:noProof/>
                <w:webHidden/>
              </w:rPr>
              <w:tab/>
            </w:r>
            <w:r>
              <w:rPr>
                <w:noProof/>
                <w:webHidden/>
              </w:rPr>
              <w:fldChar w:fldCharType="begin"/>
            </w:r>
            <w:r>
              <w:rPr>
                <w:noProof/>
                <w:webHidden/>
              </w:rPr>
              <w:instrText xml:space="preserve"> PAGEREF _Toc213213554 \h </w:instrText>
            </w:r>
            <w:r>
              <w:rPr>
                <w:noProof/>
                <w:webHidden/>
              </w:rPr>
            </w:r>
            <w:r>
              <w:rPr>
                <w:noProof/>
                <w:webHidden/>
              </w:rPr>
              <w:fldChar w:fldCharType="separate"/>
            </w:r>
            <w:r>
              <w:rPr>
                <w:noProof/>
                <w:webHidden/>
              </w:rPr>
              <w:t>17</w:t>
            </w:r>
            <w:r>
              <w:rPr>
                <w:noProof/>
                <w:webHidden/>
              </w:rPr>
              <w:fldChar w:fldCharType="end"/>
            </w:r>
          </w:hyperlink>
        </w:p>
        <w:p w14:paraId="62214AA1" w14:textId="7A7DDB78" w:rsidR="008E21DD" w:rsidRDefault="008E21DD">
          <w:pPr>
            <w:pStyle w:val="TOC2"/>
            <w:rPr>
              <w:rFonts w:asciiTheme="minorHAnsi" w:eastAsiaTheme="minorEastAsia" w:hAnsiTheme="minorHAnsi" w:cstheme="minorBidi"/>
              <w:smallCaps w:val="0"/>
              <w:kern w:val="2"/>
              <w:sz w:val="24"/>
              <w:szCs w:val="24"/>
              <w14:ligatures w14:val="standardContextual"/>
            </w:rPr>
          </w:pPr>
          <w:hyperlink w:anchor="_Toc213213555" w:history="1">
            <w:r w:rsidRPr="004D3BF3">
              <w:rPr>
                <w:rStyle w:val="Hyperlink"/>
              </w:rPr>
              <w:t>4.</w:t>
            </w:r>
            <w:r>
              <w:rPr>
                <w:rFonts w:asciiTheme="minorHAnsi" w:eastAsiaTheme="minorEastAsia" w:hAnsiTheme="minorHAnsi" w:cstheme="minorBidi"/>
                <w:smallCaps w:val="0"/>
                <w:kern w:val="2"/>
                <w:sz w:val="24"/>
                <w:szCs w:val="24"/>
                <w14:ligatures w14:val="standardContextual"/>
              </w:rPr>
              <w:tab/>
            </w:r>
            <w:r w:rsidRPr="004D3BF3">
              <w:rPr>
                <w:rStyle w:val="Hyperlink"/>
              </w:rPr>
              <w:t>Industrial and Agriculture Processes</w:t>
            </w:r>
            <w:r>
              <w:rPr>
                <w:webHidden/>
              </w:rPr>
              <w:tab/>
            </w:r>
            <w:r>
              <w:rPr>
                <w:webHidden/>
              </w:rPr>
              <w:fldChar w:fldCharType="begin"/>
            </w:r>
            <w:r>
              <w:rPr>
                <w:webHidden/>
              </w:rPr>
              <w:instrText xml:space="preserve"> PAGEREF _Toc213213555 \h </w:instrText>
            </w:r>
            <w:r>
              <w:rPr>
                <w:webHidden/>
              </w:rPr>
            </w:r>
            <w:r>
              <w:rPr>
                <w:webHidden/>
              </w:rPr>
              <w:fldChar w:fldCharType="separate"/>
            </w:r>
            <w:r>
              <w:rPr>
                <w:webHidden/>
              </w:rPr>
              <w:t>18</w:t>
            </w:r>
            <w:r>
              <w:rPr>
                <w:webHidden/>
              </w:rPr>
              <w:fldChar w:fldCharType="end"/>
            </w:r>
          </w:hyperlink>
        </w:p>
        <w:p w14:paraId="3238E6AB" w14:textId="0CCC733D"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6" w:history="1">
            <w:r w:rsidRPr="004D3BF3">
              <w:rPr>
                <w:rStyle w:val="Hyperlink"/>
                <w:noProof/>
              </w:rPr>
              <w:t>Goal 4.1: Scope and test natural gas end-use process in the industrial and agriculture sectors</w:t>
            </w:r>
            <w:r>
              <w:rPr>
                <w:noProof/>
                <w:webHidden/>
              </w:rPr>
              <w:tab/>
            </w:r>
            <w:r>
              <w:rPr>
                <w:noProof/>
                <w:webHidden/>
              </w:rPr>
              <w:fldChar w:fldCharType="begin"/>
            </w:r>
            <w:r>
              <w:rPr>
                <w:noProof/>
                <w:webHidden/>
              </w:rPr>
              <w:instrText xml:space="preserve"> PAGEREF _Toc213213556 \h </w:instrText>
            </w:r>
            <w:r>
              <w:rPr>
                <w:noProof/>
                <w:webHidden/>
              </w:rPr>
            </w:r>
            <w:r>
              <w:rPr>
                <w:noProof/>
                <w:webHidden/>
              </w:rPr>
              <w:fldChar w:fldCharType="separate"/>
            </w:r>
            <w:r>
              <w:rPr>
                <w:noProof/>
                <w:webHidden/>
              </w:rPr>
              <w:t>18</w:t>
            </w:r>
            <w:r>
              <w:rPr>
                <w:noProof/>
                <w:webHidden/>
              </w:rPr>
              <w:fldChar w:fldCharType="end"/>
            </w:r>
          </w:hyperlink>
        </w:p>
        <w:p w14:paraId="4BF60257" w14:textId="78B3D8AC"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7" w:history="1">
            <w:r w:rsidRPr="004D3BF3">
              <w:rPr>
                <w:rStyle w:val="Hyperlink"/>
                <w:noProof/>
              </w:rPr>
              <w:t>Goal 4.2: Improve product/operational efficiency of natural gas end-use process in the industrial, agriculture sectors</w:t>
            </w:r>
            <w:r>
              <w:rPr>
                <w:noProof/>
                <w:webHidden/>
              </w:rPr>
              <w:tab/>
            </w:r>
            <w:r>
              <w:rPr>
                <w:noProof/>
                <w:webHidden/>
              </w:rPr>
              <w:fldChar w:fldCharType="begin"/>
            </w:r>
            <w:r>
              <w:rPr>
                <w:noProof/>
                <w:webHidden/>
              </w:rPr>
              <w:instrText xml:space="preserve"> PAGEREF _Toc213213557 \h </w:instrText>
            </w:r>
            <w:r>
              <w:rPr>
                <w:noProof/>
                <w:webHidden/>
              </w:rPr>
            </w:r>
            <w:r>
              <w:rPr>
                <w:noProof/>
                <w:webHidden/>
              </w:rPr>
              <w:fldChar w:fldCharType="separate"/>
            </w:r>
            <w:r>
              <w:rPr>
                <w:noProof/>
                <w:webHidden/>
              </w:rPr>
              <w:t>19</w:t>
            </w:r>
            <w:r>
              <w:rPr>
                <w:noProof/>
                <w:webHidden/>
              </w:rPr>
              <w:fldChar w:fldCharType="end"/>
            </w:r>
          </w:hyperlink>
        </w:p>
        <w:p w14:paraId="37C4A3BD" w14:textId="69FDBDC2" w:rsidR="008E21DD" w:rsidRDefault="008E21DD">
          <w:pPr>
            <w:pStyle w:val="TOC2"/>
            <w:rPr>
              <w:rFonts w:asciiTheme="minorHAnsi" w:eastAsiaTheme="minorEastAsia" w:hAnsiTheme="minorHAnsi" w:cstheme="minorBidi"/>
              <w:smallCaps w:val="0"/>
              <w:kern w:val="2"/>
              <w:sz w:val="24"/>
              <w:szCs w:val="24"/>
              <w14:ligatures w14:val="standardContextual"/>
            </w:rPr>
          </w:pPr>
          <w:hyperlink w:anchor="_Toc213213558" w:history="1">
            <w:r w:rsidRPr="004D3BF3">
              <w:rPr>
                <w:rStyle w:val="Hyperlink"/>
              </w:rPr>
              <w:t>5.</w:t>
            </w:r>
            <w:r>
              <w:rPr>
                <w:rFonts w:asciiTheme="minorHAnsi" w:eastAsiaTheme="minorEastAsia" w:hAnsiTheme="minorHAnsi" w:cstheme="minorBidi"/>
                <w:smallCaps w:val="0"/>
                <w:kern w:val="2"/>
                <w:sz w:val="24"/>
                <w:szCs w:val="24"/>
                <w14:ligatures w14:val="standardContextual"/>
              </w:rPr>
              <w:tab/>
            </w:r>
            <w:r w:rsidRPr="004D3BF3">
              <w:rPr>
                <w:rStyle w:val="Hyperlink"/>
              </w:rPr>
              <w:t>Cross-Cutting</w:t>
            </w:r>
            <w:r>
              <w:rPr>
                <w:webHidden/>
              </w:rPr>
              <w:tab/>
            </w:r>
            <w:r>
              <w:rPr>
                <w:webHidden/>
              </w:rPr>
              <w:fldChar w:fldCharType="begin"/>
            </w:r>
            <w:r>
              <w:rPr>
                <w:webHidden/>
              </w:rPr>
              <w:instrText xml:space="preserve"> PAGEREF _Toc213213558 \h </w:instrText>
            </w:r>
            <w:r>
              <w:rPr>
                <w:webHidden/>
              </w:rPr>
            </w:r>
            <w:r>
              <w:rPr>
                <w:webHidden/>
              </w:rPr>
              <w:fldChar w:fldCharType="separate"/>
            </w:r>
            <w:r>
              <w:rPr>
                <w:webHidden/>
              </w:rPr>
              <w:t>20</w:t>
            </w:r>
            <w:r>
              <w:rPr>
                <w:webHidden/>
              </w:rPr>
              <w:fldChar w:fldCharType="end"/>
            </w:r>
          </w:hyperlink>
        </w:p>
        <w:p w14:paraId="0DCA653A" w14:textId="46038939"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59" w:history="1">
            <w:r w:rsidRPr="004D3BF3">
              <w:rPr>
                <w:rStyle w:val="Hyperlink"/>
                <w:noProof/>
              </w:rPr>
              <w:t>Goal 5.1: Reduce the emissions of gas-fired equipment</w:t>
            </w:r>
            <w:r>
              <w:rPr>
                <w:noProof/>
                <w:webHidden/>
              </w:rPr>
              <w:tab/>
            </w:r>
            <w:r>
              <w:rPr>
                <w:noProof/>
                <w:webHidden/>
              </w:rPr>
              <w:fldChar w:fldCharType="begin"/>
            </w:r>
            <w:r>
              <w:rPr>
                <w:noProof/>
                <w:webHidden/>
              </w:rPr>
              <w:instrText xml:space="preserve"> PAGEREF _Toc213213559 \h </w:instrText>
            </w:r>
            <w:r>
              <w:rPr>
                <w:noProof/>
                <w:webHidden/>
              </w:rPr>
            </w:r>
            <w:r>
              <w:rPr>
                <w:noProof/>
                <w:webHidden/>
              </w:rPr>
              <w:fldChar w:fldCharType="separate"/>
            </w:r>
            <w:r>
              <w:rPr>
                <w:noProof/>
                <w:webHidden/>
              </w:rPr>
              <w:t>20</w:t>
            </w:r>
            <w:r>
              <w:rPr>
                <w:noProof/>
                <w:webHidden/>
              </w:rPr>
              <w:fldChar w:fldCharType="end"/>
            </w:r>
          </w:hyperlink>
        </w:p>
        <w:p w14:paraId="289A1433" w14:textId="6904248A"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60" w:history="1">
            <w:r w:rsidRPr="004D3BF3">
              <w:rPr>
                <w:rStyle w:val="Hyperlink"/>
                <w:noProof/>
              </w:rPr>
              <w:t>Goal 5.2: Quantify Carbon Capture Technologies</w:t>
            </w:r>
            <w:r>
              <w:rPr>
                <w:noProof/>
                <w:webHidden/>
              </w:rPr>
              <w:tab/>
            </w:r>
            <w:r>
              <w:rPr>
                <w:noProof/>
                <w:webHidden/>
              </w:rPr>
              <w:fldChar w:fldCharType="begin"/>
            </w:r>
            <w:r>
              <w:rPr>
                <w:noProof/>
                <w:webHidden/>
              </w:rPr>
              <w:instrText xml:space="preserve"> PAGEREF _Toc213213560 \h </w:instrText>
            </w:r>
            <w:r>
              <w:rPr>
                <w:noProof/>
                <w:webHidden/>
              </w:rPr>
            </w:r>
            <w:r>
              <w:rPr>
                <w:noProof/>
                <w:webHidden/>
              </w:rPr>
              <w:fldChar w:fldCharType="separate"/>
            </w:r>
            <w:r>
              <w:rPr>
                <w:noProof/>
                <w:webHidden/>
              </w:rPr>
              <w:t>20</w:t>
            </w:r>
            <w:r>
              <w:rPr>
                <w:noProof/>
                <w:webHidden/>
              </w:rPr>
              <w:fldChar w:fldCharType="end"/>
            </w:r>
          </w:hyperlink>
        </w:p>
        <w:p w14:paraId="3A05AFDC" w14:textId="53B95D87"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61" w:history="1">
            <w:r w:rsidRPr="004D3BF3">
              <w:rPr>
                <w:rStyle w:val="Hyperlink"/>
                <w:noProof/>
              </w:rPr>
              <w:t>Goal 5.3: Quantify TSB impacts for Hydrogen Blending</w:t>
            </w:r>
            <w:r>
              <w:rPr>
                <w:noProof/>
                <w:webHidden/>
              </w:rPr>
              <w:tab/>
            </w:r>
            <w:r>
              <w:rPr>
                <w:noProof/>
                <w:webHidden/>
              </w:rPr>
              <w:fldChar w:fldCharType="begin"/>
            </w:r>
            <w:r>
              <w:rPr>
                <w:noProof/>
                <w:webHidden/>
              </w:rPr>
              <w:instrText xml:space="preserve"> PAGEREF _Toc213213561 \h </w:instrText>
            </w:r>
            <w:r>
              <w:rPr>
                <w:noProof/>
                <w:webHidden/>
              </w:rPr>
            </w:r>
            <w:r>
              <w:rPr>
                <w:noProof/>
                <w:webHidden/>
              </w:rPr>
              <w:fldChar w:fldCharType="separate"/>
            </w:r>
            <w:r>
              <w:rPr>
                <w:noProof/>
                <w:webHidden/>
              </w:rPr>
              <w:t>21</w:t>
            </w:r>
            <w:r>
              <w:rPr>
                <w:noProof/>
                <w:webHidden/>
              </w:rPr>
              <w:fldChar w:fldCharType="end"/>
            </w:r>
          </w:hyperlink>
        </w:p>
        <w:p w14:paraId="073861C4" w14:textId="5918D05E" w:rsidR="008E21DD" w:rsidRDefault="008E21DD">
          <w:pPr>
            <w:pStyle w:val="TOC3"/>
            <w:tabs>
              <w:tab w:val="right" w:leader="dot" w:pos="9350"/>
            </w:tabs>
            <w:rPr>
              <w:rFonts w:eastAsiaTheme="minorEastAsia" w:cstheme="minorBidi"/>
              <w:i w:val="0"/>
              <w:iCs w:val="0"/>
              <w:noProof/>
              <w:kern w:val="2"/>
              <w:sz w:val="24"/>
              <w:szCs w:val="24"/>
              <w14:ligatures w14:val="standardContextual"/>
            </w:rPr>
          </w:pPr>
          <w:hyperlink w:anchor="_Toc213213562" w:history="1">
            <w:r w:rsidRPr="004D3BF3">
              <w:rPr>
                <w:rStyle w:val="Hyperlink"/>
                <w:noProof/>
              </w:rPr>
              <w:t>Goal 5.4: Benchmark Energy Efficiency Incentives Against Carbon-Based Valuation</w:t>
            </w:r>
            <w:r>
              <w:rPr>
                <w:noProof/>
                <w:webHidden/>
              </w:rPr>
              <w:tab/>
            </w:r>
            <w:r>
              <w:rPr>
                <w:noProof/>
                <w:webHidden/>
              </w:rPr>
              <w:fldChar w:fldCharType="begin"/>
            </w:r>
            <w:r>
              <w:rPr>
                <w:noProof/>
                <w:webHidden/>
              </w:rPr>
              <w:instrText xml:space="preserve"> PAGEREF _Toc213213562 \h </w:instrText>
            </w:r>
            <w:r>
              <w:rPr>
                <w:noProof/>
                <w:webHidden/>
              </w:rPr>
            </w:r>
            <w:r>
              <w:rPr>
                <w:noProof/>
                <w:webHidden/>
              </w:rPr>
              <w:fldChar w:fldCharType="separate"/>
            </w:r>
            <w:r>
              <w:rPr>
                <w:noProof/>
                <w:webHidden/>
              </w:rPr>
              <w:t>22</w:t>
            </w:r>
            <w:r>
              <w:rPr>
                <w:noProof/>
                <w:webHidden/>
              </w:rPr>
              <w:fldChar w:fldCharType="end"/>
            </w:r>
          </w:hyperlink>
        </w:p>
        <w:p w14:paraId="65756B7F" w14:textId="190B63B0" w:rsidR="00A26D6D" w:rsidRDefault="00024DBB" w:rsidP="006A3C4E">
          <w:pPr>
            <w:sectPr w:rsidR="00A26D6D" w:rsidSect="0035617F">
              <w:footerReference w:type="default" r:id="rId11"/>
              <w:pgSz w:w="12240" w:h="15840"/>
              <w:pgMar w:top="1440" w:right="1440" w:bottom="1440" w:left="1440" w:header="0" w:footer="310" w:gutter="0"/>
              <w:cols w:space="720"/>
            </w:sectPr>
          </w:pPr>
          <w:r w:rsidRPr="00C861C2">
            <w:rPr>
              <w:rFonts w:asciiTheme="minorHAnsi" w:hAnsiTheme="minorHAnsi" w:cstheme="minorHAnsi"/>
              <w:b/>
              <w:bCs/>
              <w:noProof/>
            </w:rPr>
            <w:fldChar w:fldCharType="end"/>
          </w:r>
        </w:p>
      </w:sdtContent>
    </w:sdt>
    <w:p w14:paraId="603D6187" w14:textId="2A05A294" w:rsidR="003C7D28" w:rsidRPr="00EF1975" w:rsidRDefault="007B2E0E" w:rsidP="00103C3E">
      <w:pPr>
        <w:pStyle w:val="Heading1"/>
        <w:rPr>
          <w:sz w:val="28"/>
          <w:szCs w:val="28"/>
        </w:rPr>
      </w:pPr>
      <w:bookmarkStart w:id="0" w:name="_Toc213213537"/>
      <w:r w:rsidRPr="00EF1975">
        <w:rPr>
          <w:sz w:val="28"/>
          <w:szCs w:val="28"/>
        </w:rPr>
        <w:lastRenderedPageBreak/>
        <w:t>Background</w:t>
      </w:r>
      <w:bookmarkEnd w:id="0"/>
      <w:r w:rsidR="003C7D28" w:rsidRPr="00EF1975">
        <w:rPr>
          <w:sz w:val="28"/>
          <w:szCs w:val="28"/>
        </w:rPr>
        <w:t xml:space="preserve"> </w:t>
      </w:r>
    </w:p>
    <w:p w14:paraId="132FF4D7" w14:textId="5948EFD7" w:rsidR="00093808" w:rsidRDefault="00BA673A" w:rsidP="0051020E">
      <w:pPr>
        <w:spacing w:after="240"/>
      </w:pPr>
      <w:r>
        <w:t xml:space="preserve">In 2019, </w:t>
      </w:r>
      <w:r w:rsidR="006F0359">
        <w:t xml:space="preserve">the California Energy Commission </w:t>
      </w:r>
      <w:r w:rsidR="00D55696">
        <w:t xml:space="preserve">(CEC) </w:t>
      </w:r>
      <w:r w:rsidR="006F0359">
        <w:t>released the California Energy Efficiency Action Plan (</w:t>
      </w:r>
      <w:r w:rsidR="00D55696">
        <w:t xml:space="preserve">EE </w:t>
      </w:r>
      <w:r w:rsidR="006F0359">
        <w:t xml:space="preserve">Action Plan) which is the state’s </w:t>
      </w:r>
      <w:r w:rsidR="00EC2EAB">
        <w:t>“roadmap for an energy-efficient and low-carbon future for building</w:t>
      </w:r>
      <w:r w:rsidR="00A45EF8">
        <w:t>s</w:t>
      </w:r>
      <w:r w:rsidR="00EC2EAB">
        <w:t xml:space="preserve">. </w:t>
      </w:r>
      <w:r w:rsidR="00162CB0">
        <w:t>Energy efficiency is a key piece of California’s efforts to lessen the impacts of climate change</w:t>
      </w:r>
      <w:r w:rsidR="00C90A64">
        <w:rPr>
          <w:rStyle w:val="FootnoteReference"/>
        </w:rPr>
        <w:footnoteReference w:id="2"/>
      </w:r>
      <w:r w:rsidR="00344E59">
        <w:t>”</w:t>
      </w:r>
      <w:r w:rsidR="00093808">
        <w:t xml:space="preserve"> The EE Action Plan was prepared in response to legislative actions to double energy efficiency savings in electricity and natural gas end uses relative to a 2015 baseline by January 2030 (SB 350). Based on the CEC’s assessment, California is expected to fall 28 percent short of the 2030 natural gas savings goal.</w:t>
      </w:r>
    </w:p>
    <w:p w14:paraId="5F8E8077" w14:textId="1162E4E9" w:rsidR="00093808" w:rsidRDefault="00093808" w:rsidP="0051020E">
      <w:pPr>
        <w:spacing w:after="240"/>
      </w:pPr>
      <w:r>
        <w:t>Technology plays a distinct role in the energy efficiency landscape as greater adoption of higher efficient equipment will help close the natural gas savings shortfall. The Statewide Gas Emerging Technology (GET) Program is the primary vehicle to identify and prioritize technology research efforts. Through GET, emerging and/or underutilized technologies are evaluated to better understand their operating characteristics, efficiency performance, market barriers, etc. with the goal of moving promising technologies up the market adoption curve thus increasing their prevalence in the market.</w:t>
      </w:r>
    </w:p>
    <w:p w14:paraId="2C4B3132" w14:textId="520421A4" w:rsidR="00093808" w:rsidRDefault="00093808" w:rsidP="00BB3686">
      <w:pPr>
        <w:pStyle w:val="BodyText"/>
        <w:spacing w:after="240"/>
        <w:ind w:right="302"/>
      </w:pPr>
      <w:r w:rsidRPr="3A387CA8">
        <w:rPr>
          <w:rFonts w:asciiTheme="minorHAnsi" w:hAnsiTheme="minorHAnsi" w:cstheme="minorBidi"/>
          <w:sz w:val="22"/>
          <w:szCs w:val="22"/>
        </w:rPr>
        <w:t xml:space="preserve">California is actively looking at ways to decarbonize the “gas grid” </w:t>
      </w:r>
      <w:r>
        <w:rPr>
          <w:rFonts w:asciiTheme="minorHAnsi" w:hAnsiTheme="minorHAnsi" w:cstheme="minorBidi"/>
          <w:sz w:val="22"/>
          <w:szCs w:val="22"/>
        </w:rPr>
        <w:t xml:space="preserve">to meet </w:t>
      </w:r>
      <w:r w:rsidRPr="0084455C">
        <w:rPr>
          <w:rFonts w:asciiTheme="minorHAnsi" w:hAnsiTheme="minorHAnsi" w:cstheme="minorBidi"/>
          <w:sz w:val="22"/>
          <w:szCs w:val="22"/>
        </w:rPr>
        <w:t>California state’s carbon neutrality goal</w:t>
      </w:r>
      <w:r>
        <w:rPr>
          <w:rFonts w:asciiTheme="minorHAnsi" w:hAnsiTheme="minorHAnsi" w:cstheme="minorBidi"/>
          <w:sz w:val="22"/>
          <w:szCs w:val="22"/>
        </w:rPr>
        <w:t xml:space="preserve">. </w:t>
      </w:r>
      <w:r w:rsidRPr="3A387CA8">
        <w:rPr>
          <w:rFonts w:asciiTheme="minorHAnsi" w:hAnsiTheme="minorHAnsi" w:cstheme="minorBidi"/>
          <w:sz w:val="22"/>
          <w:szCs w:val="22"/>
        </w:rPr>
        <w:t xml:space="preserve">A step in this process is the introduction of hydrogen into the existing gas pipeline network. </w:t>
      </w:r>
      <w:r>
        <w:rPr>
          <w:rFonts w:asciiTheme="minorHAnsi" w:hAnsiTheme="minorHAnsi" w:cstheme="minorBidi"/>
          <w:sz w:val="22"/>
          <w:szCs w:val="22"/>
        </w:rPr>
        <w:t>T</w:t>
      </w:r>
      <w:r w:rsidRPr="3A387CA8">
        <w:rPr>
          <w:rFonts w:asciiTheme="minorHAnsi" w:hAnsiTheme="minorHAnsi" w:cstheme="minorBidi"/>
          <w:sz w:val="22"/>
          <w:szCs w:val="22"/>
        </w:rPr>
        <w:t xml:space="preserve">he expectation is that the </w:t>
      </w:r>
      <w:r>
        <w:rPr>
          <w:rFonts w:asciiTheme="minorHAnsi" w:hAnsiTheme="minorHAnsi" w:cstheme="minorBidi"/>
          <w:sz w:val="22"/>
          <w:szCs w:val="22"/>
        </w:rPr>
        <w:t>future gas needs</w:t>
      </w:r>
      <w:r w:rsidRPr="3A387CA8">
        <w:rPr>
          <w:rFonts w:asciiTheme="minorHAnsi" w:hAnsiTheme="minorHAnsi" w:cstheme="minorBidi"/>
          <w:sz w:val="22"/>
          <w:szCs w:val="22"/>
        </w:rPr>
        <w:t xml:space="preserve"> will be </w:t>
      </w:r>
      <w:r>
        <w:rPr>
          <w:rFonts w:asciiTheme="minorHAnsi" w:hAnsiTheme="minorHAnsi" w:cstheme="minorBidi"/>
          <w:sz w:val="22"/>
          <w:szCs w:val="22"/>
        </w:rPr>
        <w:t xml:space="preserve">satisfied using </w:t>
      </w:r>
      <w:r w:rsidRPr="3A387CA8">
        <w:rPr>
          <w:rFonts w:asciiTheme="minorHAnsi" w:hAnsiTheme="minorHAnsi" w:cstheme="minorBidi"/>
          <w:sz w:val="22"/>
          <w:szCs w:val="22"/>
        </w:rPr>
        <w:t xml:space="preserve">a low percentage hydrogen blend that does not compromise pipeline safety and </w:t>
      </w:r>
      <w:r>
        <w:rPr>
          <w:rFonts w:asciiTheme="minorHAnsi" w:hAnsiTheme="minorHAnsi" w:cstheme="minorBidi"/>
          <w:sz w:val="22"/>
          <w:szCs w:val="22"/>
        </w:rPr>
        <w:t>that</w:t>
      </w:r>
      <w:r w:rsidRPr="3A387CA8">
        <w:rPr>
          <w:rFonts w:asciiTheme="minorHAnsi" w:hAnsiTheme="minorHAnsi" w:cstheme="minorBidi"/>
          <w:sz w:val="22"/>
          <w:szCs w:val="22"/>
        </w:rPr>
        <w:t xml:space="preserve"> </w:t>
      </w:r>
      <w:r>
        <w:rPr>
          <w:rFonts w:asciiTheme="minorHAnsi" w:hAnsiTheme="minorHAnsi" w:cstheme="minorBidi"/>
          <w:sz w:val="22"/>
          <w:szCs w:val="22"/>
        </w:rPr>
        <w:t>end-use</w:t>
      </w:r>
      <w:r w:rsidRPr="3A387CA8">
        <w:rPr>
          <w:rFonts w:asciiTheme="minorHAnsi" w:hAnsiTheme="minorHAnsi" w:cstheme="minorBidi"/>
          <w:sz w:val="22"/>
          <w:szCs w:val="22"/>
        </w:rPr>
        <w:t xml:space="preserve"> equipment</w:t>
      </w:r>
      <w:r>
        <w:rPr>
          <w:rFonts w:asciiTheme="minorHAnsi" w:hAnsiTheme="minorHAnsi" w:cstheme="minorBidi"/>
          <w:sz w:val="22"/>
          <w:szCs w:val="22"/>
        </w:rPr>
        <w:t xml:space="preserve"> will still meet efficiency performance expectations with these blended fuels</w:t>
      </w:r>
      <w:r w:rsidRPr="3A387CA8">
        <w:rPr>
          <w:rFonts w:asciiTheme="minorHAnsi" w:hAnsiTheme="minorHAnsi" w:cstheme="minorBidi"/>
          <w:sz w:val="22"/>
          <w:szCs w:val="22"/>
        </w:rPr>
        <w:t xml:space="preserve">. </w:t>
      </w:r>
      <w:r>
        <w:rPr>
          <w:rFonts w:asciiTheme="minorHAnsi" w:hAnsiTheme="minorHAnsi" w:cstheme="minorBidi"/>
          <w:sz w:val="22"/>
          <w:szCs w:val="22"/>
        </w:rPr>
        <w:t>However, t</w:t>
      </w:r>
      <w:r w:rsidRPr="3A387CA8">
        <w:rPr>
          <w:rFonts w:asciiTheme="minorHAnsi" w:hAnsiTheme="minorHAnsi" w:cstheme="minorBidi"/>
          <w:sz w:val="22"/>
          <w:szCs w:val="22"/>
        </w:rPr>
        <w:t>he impacts on both existing and new equipment need to be quantified</w:t>
      </w:r>
      <w:r>
        <w:rPr>
          <w:rFonts w:asciiTheme="minorHAnsi" w:hAnsiTheme="minorHAnsi" w:cstheme="minorBidi"/>
          <w:sz w:val="22"/>
          <w:szCs w:val="22"/>
        </w:rPr>
        <w:t xml:space="preserve"> to better understand operating characteristics</w:t>
      </w:r>
      <w:r w:rsidRPr="3A387CA8">
        <w:rPr>
          <w:rFonts w:asciiTheme="minorHAnsi" w:hAnsiTheme="minorHAnsi" w:cstheme="minorBidi"/>
          <w:sz w:val="22"/>
          <w:szCs w:val="22"/>
        </w:rPr>
        <w:t>.</w:t>
      </w:r>
    </w:p>
    <w:p w14:paraId="6F1F1146" w14:textId="297AEDC0" w:rsidR="00093808" w:rsidRDefault="00093808" w:rsidP="0051020E">
      <w:pPr>
        <w:spacing w:after="240"/>
      </w:pPr>
      <w:r>
        <w:t xml:space="preserve">Concurrent with the adoption of new technologies, is the need to understand market barriers, including those that are the result of the new technology, as well as any that already exist for current similar technologies. Because these technologies, even the emerging ones, are in many cases competing against electric technologies that are being deployed for electrification, understanding the differences between the electric and gas technologies, including the differences in source greenhouse gas (GHG) generation and site indoor air quality (IAQ) issues, becomes more critical than comparing single fuel technologies. Over the course of recent project activities, it was found that other local and statewide regulations on emissions affect the availability of emerging gas-fired technologies (e.g., Air Quality Management District regulations on NOx, California Air Resources Board regulations on emissions, local “gas-bans” etc...). The impacts of these regulations on emerging technologies evaluated through GET need to be considered. </w:t>
      </w:r>
    </w:p>
    <w:p w14:paraId="17C238E4" w14:textId="56226376" w:rsidR="00813BFA" w:rsidRDefault="00813BFA" w:rsidP="00813BFA">
      <w:pPr>
        <w:spacing w:after="240"/>
      </w:pPr>
      <w:r>
        <w:t>Recently, in addition to the ongoing discussions on electrification and decarbonization, there were significant policy directions that could significantly impact the future of natural gas-fired space and water heating technologies in California.  These policies fall under three (3) general categories; Gas Energy Efficiency (EE) measures, Air Quality Codes &amp; Standards, Building Efficiency Codes &amp; Standards</w:t>
      </w:r>
      <w:r w:rsidR="00D17F44">
        <w:t xml:space="preserve">, </w:t>
      </w:r>
      <w:r w:rsidR="00D17F44" w:rsidRPr="00D17F44">
        <w:t>including recent distinctions between “gas-exempt” and non-exempt measures under CPUC direction.</w:t>
      </w:r>
      <w:r>
        <w:t xml:space="preserve"> The policy directions are as follows:</w:t>
      </w:r>
    </w:p>
    <w:p w14:paraId="04B427C5" w14:textId="77777777" w:rsidR="006A3C4E" w:rsidRDefault="006A3C4E" w:rsidP="00813BFA">
      <w:pPr>
        <w:spacing w:after="240"/>
      </w:pPr>
    </w:p>
    <w:p w14:paraId="4A32C9C4" w14:textId="77777777" w:rsidR="006A3C4E" w:rsidRDefault="006A3C4E" w:rsidP="00813BFA">
      <w:pPr>
        <w:spacing w:after="240"/>
      </w:pPr>
    </w:p>
    <w:p w14:paraId="6C46DBE2" w14:textId="77777777" w:rsidR="00093808" w:rsidRDefault="00093808" w:rsidP="00AA34F5">
      <w:pPr>
        <w:pStyle w:val="ListParagraph"/>
        <w:numPr>
          <w:ilvl w:val="0"/>
          <w:numId w:val="11"/>
        </w:numPr>
        <w:spacing w:after="240"/>
      </w:pPr>
      <w:r>
        <w:lastRenderedPageBreak/>
        <w:t xml:space="preserve">Gas EE Measures: </w:t>
      </w:r>
    </w:p>
    <w:p w14:paraId="1F234BB5" w14:textId="6A699BAF" w:rsidR="00093808" w:rsidRDefault="00093808" w:rsidP="00C861C2">
      <w:pPr>
        <w:pStyle w:val="ListParagraph"/>
        <w:numPr>
          <w:ilvl w:val="1"/>
          <w:numId w:val="11"/>
        </w:numPr>
        <w:spacing w:after="240"/>
      </w:pPr>
      <w:r>
        <w:t>In April 2023, the California Public Utilities Commission (CPUC) released decision D.23-04-035 that eliminates non-exempt (measures that burn gas and yield gas savings)</w:t>
      </w:r>
      <w:r>
        <w:rPr>
          <w:rStyle w:val="FootnoteReference"/>
        </w:rPr>
        <w:footnoteReference w:id="3"/>
      </w:r>
      <w:r>
        <w:t xml:space="preserve"> and non-cost-effective gas energy efficiency measures in most residential and new construction programs.  This decision also ordered a research and stakeholder process to develop a </w:t>
      </w:r>
      <w:r w:rsidR="00C61860">
        <w:t xml:space="preserve">Viable Electric Alternative (VEA) Technical Guidance </w:t>
      </w:r>
      <w:r>
        <w:t xml:space="preserve">Technical Guidance Documents which are likely to be used for phasing out gas incentives </w:t>
      </w:r>
      <w:proofErr w:type="gramStart"/>
      <w:r>
        <w:t>later on</w:t>
      </w:r>
      <w:proofErr w:type="gramEnd"/>
      <w:r>
        <w:t xml:space="preserve"> for gas burning measures. The outcome of the VEA activity has not been released </w:t>
      </w:r>
      <w:r w:rsidR="00D545B1">
        <w:t>as of Q4 202</w:t>
      </w:r>
      <w:r w:rsidR="00C17642">
        <w:t>6</w:t>
      </w:r>
      <w:r>
        <w:t>.  The working groups and other aspects of this decision are addressing the following:</w:t>
      </w:r>
    </w:p>
    <w:p w14:paraId="2DC46CA8" w14:textId="144265D3" w:rsidR="00093808" w:rsidRDefault="00093808" w:rsidP="00DF62ED">
      <w:pPr>
        <w:pStyle w:val="ListParagraph"/>
        <w:numPr>
          <w:ilvl w:val="2"/>
          <w:numId w:val="11"/>
        </w:numPr>
        <w:spacing w:after="240"/>
      </w:pPr>
      <w:r>
        <w:t>Electrification cost impacts and allocation by end use.</w:t>
      </w:r>
    </w:p>
    <w:p w14:paraId="60FE38EE" w14:textId="663B23F0" w:rsidR="00093808" w:rsidRDefault="00093808" w:rsidP="00DF62ED">
      <w:pPr>
        <w:pStyle w:val="ListParagraph"/>
        <w:numPr>
          <w:ilvl w:val="2"/>
          <w:numId w:val="11"/>
        </w:numPr>
        <w:spacing w:after="240"/>
      </w:pPr>
      <w:r>
        <w:t>Cost calculator that will be used to project customer costs relative to electrification.</w:t>
      </w:r>
    </w:p>
    <w:p w14:paraId="4FED2026" w14:textId="6623CB6F" w:rsidR="00093808" w:rsidRDefault="00093808" w:rsidP="00DF62ED">
      <w:pPr>
        <w:pStyle w:val="ListParagraph"/>
        <w:numPr>
          <w:ilvl w:val="2"/>
          <w:numId w:val="11"/>
        </w:numPr>
        <w:spacing w:after="240"/>
      </w:pPr>
      <w:r>
        <w:t>Criterion and process for determining VEA's and the subsequent elimination of existing and potential new gas measures.  It is this space that is most relevant for the GET program’s focus as existing measure viability will determine where to apply the ongoing research efforts.</w:t>
      </w:r>
    </w:p>
    <w:p w14:paraId="73FCA55D" w14:textId="5091A47F" w:rsidR="00093808" w:rsidRDefault="00093808" w:rsidP="00AA34F5">
      <w:pPr>
        <w:pStyle w:val="ListParagraph"/>
        <w:numPr>
          <w:ilvl w:val="0"/>
          <w:numId w:val="11"/>
        </w:numPr>
        <w:spacing w:after="240"/>
      </w:pPr>
      <w:r>
        <w:t>Cost Effectiveness</w:t>
      </w:r>
    </w:p>
    <w:p w14:paraId="26574A8E" w14:textId="3C47F02F" w:rsidR="00093808" w:rsidRDefault="00093808" w:rsidP="00123AE1">
      <w:pPr>
        <w:pStyle w:val="ListParagraph"/>
        <w:numPr>
          <w:ilvl w:val="1"/>
          <w:numId w:val="11"/>
        </w:numPr>
        <w:spacing w:after="240"/>
      </w:pPr>
      <w:r>
        <w:t xml:space="preserve">The California State Assembly recently approved </w:t>
      </w:r>
      <w:r w:rsidRPr="0000532A">
        <w:t>AB 3264</w:t>
      </w:r>
      <w:r>
        <w:t xml:space="preserve"> which requires additional reporting from EE programs.  The original bill might have placed requirements on EE programs to meet a cost-effectiveness threshold, but it was amended before it was passed to remove cost-effectiveness requirements.  California Governor Newsom subsequently issued Executive Order N-5-24 on October 30, 2024 which orders the California Energy Commission (CEC) to examine all electric rate-payer funded programs that may be unduly adding to electric rates and requests the CEC to take immediate action to sunset underperforming or underutilized programs or shoes costs exceed the value and benefit to electric ratepayers. Both legislative actions do not directly affect gas EE measures but demonstrate the legislative landscape in California is concerned about utility costs in general. </w:t>
      </w:r>
    </w:p>
    <w:p w14:paraId="04980822" w14:textId="5EE4361B" w:rsidR="00093808" w:rsidRDefault="00093808" w:rsidP="00AA34F5">
      <w:pPr>
        <w:pStyle w:val="ListParagraph"/>
        <w:numPr>
          <w:ilvl w:val="0"/>
          <w:numId w:val="11"/>
        </w:numPr>
        <w:spacing w:after="240"/>
      </w:pPr>
      <w:r>
        <w:t>Air Quality Codes &amp; Standards</w:t>
      </w:r>
    </w:p>
    <w:p w14:paraId="3D322664" w14:textId="7EE0793D" w:rsidR="00093808" w:rsidRDefault="00093808" w:rsidP="0020675B">
      <w:pPr>
        <w:pStyle w:val="ListParagraph"/>
        <w:numPr>
          <w:ilvl w:val="1"/>
          <w:numId w:val="11"/>
        </w:numPr>
        <w:spacing w:after="240"/>
      </w:pPr>
      <w:r>
        <w:t>In September 2022, the California Air Resources Board (CARB) approved the “Proposed 2022 State Strategy for the State Implementation Plan” that will set a zero-emission standard for space and water heaters to go into effect in 2030</w:t>
      </w:r>
      <w:r>
        <w:rPr>
          <w:rStyle w:val="FootnoteReference"/>
        </w:rPr>
        <w:footnoteReference w:id="4"/>
      </w:r>
      <w:r>
        <w:t>. It is unclear if zero emissions include CO</w:t>
      </w:r>
      <w:r w:rsidRPr="00BB3686">
        <w:rPr>
          <w:vertAlign w:val="subscript"/>
        </w:rPr>
        <w:t>2</w:t>
      </w:r>
      <w:r>
        <w:t xml:space="preserve"> but probably include NOx at a minimum. While this plan was voted on and approved by CARB, the details have not yet been determined. Also, it was found during the 2022 research that existing Air Quality Management District (AQMD) regulations requiring Ultra-Low NOx emissions on water heaters impact participation of </w:t>
      </w:r>
      <w:r>
        <w:lastRenderedPageBreak/>
        <w:t xml:space="preserve">storage water heaters in EE programs. </w:t>
      </w:r>
    </w:p>
    <w:p w14:paraId="654A244E" w14:textId="065E70F0" w:rsidR="00093808" w:rsidRDefault="00093808" w:rsidP="0020675B">
      <w:pPr>
        <w:pStyle w:val="ListParagraph"/>
        <w:numPr>
          <w:ilvl w:val="1"/>
          <w:numId w:val="11"/>
        </w:numPr>
        <w:spacing w:after="240"/>
      </w:pPr>
      <w:r>
        <w:t xml:space="preserve">On March 15, 2023, the Bay Area Air Quality Management District approved new rule amendments to phase out sales and installations of gas furnaces and gas water heaters that emit NOx from 2027 – 2031. </w:t>
      </w:r>
    </w:p>
    <w:p w14:paraId="1D90C1E8" w14:textId="1D2403D9" w:rsidR="00093808" w:rsidRDefault="00093808" w:rsidP="0020675B">
      <w:pPr>
        <w:pStyle w:val="ListParagraph"/>
        <w:numPr>
          <w:ilvl w:val="1"/>
          <w:numId w:val="11"/>
        </w:numPr>
        <w:spacing w:after="240"/>
      </w:pPr>
      <w:r>
        <w:t>South Coast Air Quality Management District (SCAQMD) has many control measures in their 2022 Air Quality Management Plan which require transitions to Zero and Near-Zero emissions technologies in commercial and residential buildings for stationary combustion sources, appliances, and restaurant cooking equipment.  These affect the following SCAQMD rules: 1109.1, 1110.2, 1117, 1134, 1135, 1147.1, 1150.3, and 1179.1.</w:t>
      </w:r>
    </w:p>
    <w:p w14:paraId="3ACE35DC" w14:textId="640EEA7A" w:rsidR="00E25AF5" w:rsidRDefault="00E25AF5" w:rsidP="00E25AF5">
      <w:pPr>
        <w:pStyle w:val="ListParagraph"/>
        <w:numPr>
          <w:ilvl w:val="2"/>
          <w:numId w:val="11"/>
        </w:numPr>
        <w:spacing w:after="240"/>
      </w:pPr>
      <w:r>
        <w:t xml:space="preserve">As an example, Rule 1146.2 was amended on June 7, 2024. It requires new and existing water heaters, pool heaters, boilers, and process heaters to meet zero-NOₓ emission standards on a phased schedule. The first compliance deadline for new installations begins January 1, 2026 (for smaller units) and the final deadline for high-temperature units in existing buildings is January 1, 2033. </w:t>
      </w:r>
    </w:p>
    <w:p w14:paraId="3AAFC217" w14:textId="16805D00" w:rsidR="00E25AF5" w:rsidRDefault="00E25AF5" w:rsidP="00E25AF5">
      <w:pPr>
        <w:pStyle w:val="ListParagraph"/>
        <w:numPr>
          <w:ilvl w:val="2"/>
          <w:numId w:val="11"/>
        </w:numPr>
        <w:spacing w:after="240"/>
      </w:pPr>
      <w:r>
        <w:t>This amendment aligns with statewide zero-emission appliance initiatives and underscores the consistent regulatory trajectory toward zero-emission combustion appliances across California.</w:t>
      </w:r>
    </w:p>
    <w:p w14:paraId="629E1681" w14:textId="5D329525" w:rsidR="00E25AF5" w:rsidRDefault="00E25AF5" w:rsidP="00E25AF5">
      <w:pPr>
        <w:pStyle w:val="ListParagraph"/>
        <w:numPr>
          <w:ilvl w:val="2"/>
          <w:numId w:val="11"/>
        </w:numPr>
        <w:spacing w:after="240"/>
      </w:pPr>
      <w:r>
        <w:t xml:space="preserve">A legal challenge (Rinnai America Corp. et al. v. SCAQMD) has been filed alleging federal pre-emption under the Energy Policy and Conservation Act (EPCA). As of mid-2025, the litigation is </w:t>
      </w:r>
      <w:proofErr w:type="gramStart"/>
      <w:r>
        <w:t>ongoing</w:t>
      </w:r>
      <w:proofErr w:type="gramEnd"/>
      <w:r>
        <w:t xml:space="preserve"> and no final court decision of July 18, 2025 (as previously reported) has been publicly confirmed. </w:t>
      </w:r>
    </w:p>
    <w:p w14:paraId="3EBC0C38" w14:textId="7AE6E08A" w:rsidR="00093808" w:rsidRDefault="00E25AF5" w:rsidP="00E25AF5">
      <w:pPr>
        <w:pStyle w:val="ListParagraph"/>
        <w:numPr>
          <w:ilvl w:val="2"/>
          <w:numId w:val="11"/>
        </w:numPr>
        <w:spacing w:after="240"/>
      </w:pPr>
      <w:r>
        <w:t>In addition, Rule 1138 (Commercial Cooking Operations) is under consideration for amendment in 2025 to tighten PM</w:t>
      </w:r>
      <w:proofErr w:type="gramStart"/>
      <w:r>
        <w:t>₂.₅</w:t>
      </w:r>
      <w:proofErr w:type="gramEnd"/>
      <w:r>
        <w:t xml:space="preserve"> and NOₓ emission limits from restaurant </w:t>
      </w:r>
      <w:proofErr w:type="spellStart"/>
      <w:r>
        <w:t>charbroilers</w:t>
      </w:r>
      <w:proofErr w:type="spellEnd"/>
      <w:r>
        <w:t xml:space="preserve"> and similar cooking equipment, reflecting SCAQMD’s broader strategy to transition stationary combustion sources toward zero- and near-zero-emission </w:t>
      </w:r>
      <w:r w:rsidR="006A3C4E">
        <w:t>technologies. Building</w:t>
      </w:r>
      <w:r w:rsidR="00093808">
        <w:t xml:space="preserve"> Efficiency Codes &amp; Standards</w:t>
      </w:r>
    </w:p>
    <w:p w14:paraId="5419EEBC" w14:textId="0850C61F" w:rsidR="00ED5933" w:rsidRDefault="00093808" w:rsidP="0020675B">
      <w:pPr>
        <w:pStyle w:val="ListParagraph"/>
        <w:numPr>
          <w:ilvl w:val="2"/>
          <w:numId w:val="11"/>
        </w:numPr>
        <w:spacing w:after="240"/>
      </w:pPr>
      <w:r>
        <w:t xml:space="preserve">Updates to Title 24 2025 were adopted on September 11, </w:t>
      </w:r>
      <w:proofErr w:type="gramStart"/>
      <w:r>
        <w:t>2024</w:t>
      </w:r>
      <w:proofErr w:type="gramEnd"/>
      <w:r w:rsidR="008D0D96">
        <w:t xml:space="preserve"> and set to be in place on January 1, 2026</w:t>
      </w:r>
      <w:r>
        <w:t>.  Code updates focused on</w:t>
      </w:r>
      <w:r w:rsidR="00ED5933">
        <w:t>:</w:t>
      </w:r>
    </w:p>
    <w:p w14:paraId="749B1B81" w14:textId="74D9C6F3" w:rsidR="00E75691" w:rsidRDefault="005A7625" w:rsidP="00ED5933">
      <w:pPr>
        <w:pStyle w:val="ListParagraph"/>
        <w:numPr>
          <w:ilvl w:val="3"/>
          <w:numId w:val="11"/>
        </w:numPr>
        <w:spacing w:after="240"/>
      </w:pPr>
      <w:r>
        <w:t>Requiring solar thermal pool heating for single family, multifamily, and hotel/motel pool applications except where</w:t>
      </w:r>
      <w:r w:rsidR="00DF334B">
        <w:t xml:space="preserve"> at least</w:t>
      </w:r>
      <w:r>
        <w:t xml:space="preserve"> </w:t>
      </w:r>
      <w:r w:rsidR="00DF334B">
        <w:t>60% of the thermal energy comes from on-site renewable energy or site recovered energy</w:t>
      </w:r>
    </w:p>
    <w:p w14:paraId="0ACEF5DA" w14:textId="2BC5AF49" w:rsidR="00ED5933" w:rsidRDefault="00ED5933" w:rsidP="00ED5933">
      <w:pPr>
        <w:pStyle w:val="ListParagraph"/>
        <w:numPr>
          <w:ilvl w:val="3"/>
          <w:numId w:val="11"/>
        </w:numPr>
        <w:spacing w:after="240"/>
      </w:pPr>
      <w:r>
        <w:t>U</w:t>
      </w:r>
      <w:r w:rsidR="00093808">
        <w:t>sing heat pumps for space heating and water heating in single family</w:t>
      </w:r>
      <w:r>
        <w:t xml:space="preserve"> residences</w:t>
      </w:r>
      <w:r w:rsidR="00B23CC3">
        <w:t xml:space="preserve"> </w:t>
      </w:r>
      <w:r w:rsidR="00CC1F7F">
        <w:t>and locking out supplemental (electric or gas-fired) heating above certain outdoor air temperatures</w:t>
      </w:r>
      <w:r w:rsidR="00C632CA">
        <w:t>.</w:t>
      </w:r>
    </w:p>
    <w:p w14:paraId="3E5C9616" w14:textId="7281BCE3" w:rsidR="00D60F28" w:rsidRDefault="00ED5933" w:rsidP="00ED5933">
      <w:pPr>
        <w:pStyle w:val="ListParagraph"/>
        <w:numPr>
          <w:ilvl w:val="3"/>
          <w:numId w:val="11"/>
        </w:numPr>
        <w:spacing w:after="240"/>
      </w:pPr>
      <w:r>
        <w:t>E</w:t>
      </w:r>
      <w:r w:rsidR="00093808">
        <w:t>ncouraging electric ready buildings for water heating and cooking</w:t>
      </w:r>
      <w:r w:rsidR="00C632CA">
        <w:t>.</w:t>
      </w:r>
    </w:p>
    <w:p w14:paraId="41CFB3C5" w14:textId="3D62ACF3" w:rsidR="00D60F28" w:rsidRDefault="00D60F28" w:rsidP="00ED5933">
      <w:pPr>
        <w:pStyle w:val="ListParagraph"/>
        <w:numPr>
          <w:ilvl w:val="3"/>
          <w:numId w:val="11"/>
        </w:numPr>
        <w:spacing w:after="240"/>
      </w:pPr>
      <w:r>
        <w:t>U</w:t>
      </w:r>
      <w:r w:rsidR="00093808">
        <w:t>pdating photovoltaic and battery storage standards</w:t>
      </w:r>
      <w:r w:rsidR="00C632CA">
        <w:t>.</w:t>
      </w:r>
      <w:r w:rsidR="00093808">
        <w:t xml:space="preserve"> </w:t>
      </w:r>
    </w:p>
    <w:p w14:paraId="72338800" w14:textId="20F12534" w:rsidR="00D60F28" w:rsidRDefault="00D60F28" w:rsidP="00ED5933">
      <w:pPr>
        <w:pStyle w:val="ListParagraph"/>
        <w:numPr>
          <w:ilvl w:val="3"/>
          <w:numId w:val="11"/>
        </w:numPr>
        <w:spacing w:after="240"/>
      </w:pPr>
      <w:r>
        <w:t>U</w:t>
      </w:r>
      <w:r w:rsidR="00093808">
        <w:t xml:space="preserve">pdating space conditioning system controls requirements for </w:t>
      </w:r>
      <w:r w:rsidR="00093808">
        <w:lastRenderedPageBreak/>
        <w:t>nonresidential buildings</w:t>
      </w:r>
      <w:r w:rsidR="00C632CA">
        <w:t>.</w:t>
      </w:r>
    </w:p>
    <w:p w14:paraId="78385E8D" w14:textId="77777777" w:rsidR="00D60F28" w:rsidRDefault="00D60F28" w:rsidP="00ED5933">
      <w:pPr>
        <w:pStyle w:val="ListParagraph"/>
        <w:numPr>
          <w:ilvl w:val="3"/>
          <w:numId w:val="11"/>
        </w:numPr>
        <w:spacing w:after="240"/>
      </w:pPr>
      <w:r>
        <w:t>U</w:t>
      </w:r>
      <w:r w:rsidR="00093808">
        <w:t xml:space="preserve">pdating ventilation requirements in multifamily buildings to improve air quality. </w:t>
      </w:r>
    </w:p>
    <w:p w14:paraId="311013C4" w14:textId="580CA590" w:rsidR="00093808" w:rsidRDefault="00093808" w:rsidP="00ED5933">
      <w:pPr>
        <w:pStyle w:val="ListParagraph"/>
        <w:numPr>
          <w:ilvl w:val="3"/>
          <w:numId w:val="11"/>
        </w:numPr>
        <w:spacing w:after="240"/>
      </w:pPr>
      <w:r>
        <w:t>The standards allow for flexibility in taking alternative but equally efficient approaches for space heating and water heating which means gas-fired heat pumps could still be a viable option to use to meet Title 2025 standards</w:t>
      </w:r>
      <w:r>
        <w:rPr>
          <w:rStyle w:val="FootnoteReference"/>
        </w:rPr>
        <w:footnoteReference w:id="5"/>
      </w:r>
      <w:r>
        <w:t xml:space="preserve">. </w:t>
      </w:r>
    </w:p>
    <w:p w14:paraId="45CF5AF5" w14:textId="5D808031" w:rsidR="00093808" w:rsidRDefault="00093808" w:rsidP="00C9240D">
      <w:pPr>
        <w:spacing w:after="240"/>
      </w:pPr>
      <w:r w:rsidRPr="00D11EC9">
        <w:t xml:space="preserve">The </w:t>
      </w:r>
      <w:r>
        <w:t>202</w:t>
      </w:r>
      <w:r w:rsidR="00010D74">
        <w:t>6</w:t>
      </w:r>
      <w:r>
        <w:t xml:space="preserve"> </w:t>
      </w:r>
      <w:r w:rsidRPr="00D11EC9">
        <w:t xml:space="preserve">Annual </w:t>
      </w:r>
      <w:r>
        <w:t xml:space="preserve">Research </w:t>
      </w:r>
      <w:r w:rsidRPr="00D11EC9">
        <w:t xml:space="preserve">Plan </w:t>
      </w:r>
      <w:r>
        <w:t>sets forth the priority technology areas that will be investigated in 202</w:t>
      </w:r>
      <w:r w:rsidR="00010D74">
        <w:t>6</w:t>
      </w:r>
      <w:r>
        <w:t xml:space="preserve">. These areas were selected to align with California’s </w:t>
      </w:r>
      <w:r w:rsidRPr="00D11EC9">
        <w:t xml:space="preserve">strategic goals </w:t>
      </w:r>
      <w:r>
        <w:t>and focus on the end-uses and customer segments that offer the greatest potential for energy savings. As with the prior research plan, there are certain programmatic limits to research areas. The following areas are not in scope for GET:</w:t>
      </w:r>
    </w:p>
    <w:p w14:paraId="4066F5D6" w14:textId="61D159A1" w:rsidR="00093808" w:rsidRDefault="00093808" w:rsidP="00AA34F5">
      <w:pPr>
        <w:pStyle w:val="ListParagraph"/>
        <w:numPr>
          <w:ilvl w:val="0"/>
          <w:numId w:val="19"/>
        </w:numPr>
        <w:spacing w:after="240"/>
      </w:pPr>
      <w:r>
        <w:t>Net power generation</w:t>
      </w:r>
    </w:p>
    <w:p w14:paraId="41AC09F2" w14:textId="51A07917" w:rsidR="00093808" w:rsidRDefault="00093808" w:rsidP="00AA34F5">
      <w:pPr>
        <w:pStyle w:val="ListParagraph"/>
        <w:numPr>
          <w:ilvl w:val="0"/>
          <w:numId w:val="19"/>
        </w:numPr>
        <w:spacing w:after="240"/>
      </w:pPr>
      <w:r>
        <w:t>The utility side of the meter (“In front of the meter”)</w:t>
      </w:r>
    </w:p>
    <w:p w14:paraId="766744D6" w14:textId="08DFEBFE" w:rsidR="00093808" w:rsidRDefault="00093808" w:rsidP="00AA34F5">
      <w:pPr>
        <w:pStyle w:val="ListParagraph"/>
        <w:numPr>
          <w:ilvl w:val="0"/>
          <w:numId w:val="19"/>
        </w:numPr>
        <w:spacing w:after="240"/>
      </w:pPr>
      <w:r>
        <w:t>Early R&amp;D (typically less than TRL 8)</w:t>
      </w:r>
    </w:p>
    <w:p w14:paraId="449A28EE" w14:textId="77777777" w:rsidR="00093808" w:rsidRDefault="00093808" w:rsidP="00AA34F5">
      <w:pPr>
        <w:pStyle w:val="ListParagraph"/>
        <w:numPr>
          <w:ilvl w:val="0"/>
          <w:numId w:val="19"/>
        </w:numPr>
        <w:spacing w:after="240"/>
      </w:pPr>
      <w:r>
        <w:t>Projects that do not save therms or do not help overcome barriers to saving therms</w:t>
      </w:r>
    </w:p>
    <w:p w14:paraId="1A588A31" w14:textId="1EFAB158" w:rsidR="00093808" w:rsidRDefault="00093808" w:rsidP="00AA34F5">
      <w:pPr>
        <w:pStyle w:val="ListParagraph"/>
        <w:numPr>
          <w:ilvl w:val="0"/>
          <w:numId w:val="19"/>
        </w:numPr>
        <w:spacing w:after="240"/>
      </w:pPr>
      <w:r>
        <w:t xml:space="preserve">Technologies that use non-IOU supplied </w:t>
      </w:r>
      <w:r w:rsidR="00013450">
        <w:t xml:space="preserve">fuels </w:t>
      </w:r>
      <w:r>
        <w:t xml:space="preserve">(i.e., propane)  </w:t>
      </w:r>
    </w:p>
    <w:p w14:paraId="4FC4614B" w14:textId="2266CCE8" w:rsidR="00093808" w:rsidRDefault="00093808" w:rsidP="00C9240D">
      <w:pPr>
        <w:spacing w:after="240"/>
      </w:pPr>
      <w:r>
        <w:t>Natural gas usage across the three gas Investor-Owned Utilities (IOUs) – Pacific Gas and Electric (PG&amp;E), San Diego Gas and Electric (SDG&amp;E) and Southern California Gas Company (SoCalGas) – varies widely. For example, more than 60 percent of gas usage in PG&amp;E territory occurs within the industrial customer base while industrial customers in SDG&amp;E territory only account for 5 percent of gas usage. Table 1 shows gas usage by customer segment for each IOU</w:t>
      </w:r>
      <w:r>
        <w:rPr>
          <w:rStyle w:val="FootnoteReference"/>
        </w:rPr>
        <w:footnoteReference w:id="6"/>
      </w:r>
      <w:r>
        <w:t>.</w:t>
      </w:r>
    </w:p>
    <w:p w14:paraId="624BAA5E" w14:textId="0BD3BAFB" w:rsidR="00093808" w:rsidRDefault="00093808" w:rsidP="003C7D28"/>
    <w:p w14:paraId="54B8F910" w14:textId="3C906B62" w:rsidR="00093808" w:rsidRPr="00FB08FE" w:rsidRDefault="00093808" w:rsidP="003C7D28">
      <w:pPr>
        <w:rPr>
          <w:sz w:val="20"/>
          <w:szCs w:val="20"/>
        </w:rPr>
      </w:pPr>
      <w:r w:rsidRPr="00FB08FE">
        <w:rPr>
          <w:b/>
          <w:bCs/>
          <w:sz w:val="20"/>
          <w:szCs w:val="20"/>
        </w:rPr>
        <w:t>Table 1.</w:t>
      </w:r>
      <w:r w:rsidRPr="00FB08FE">
        <w:rPr>
          <w:sz w:val="20"/>
          <w:szCs w:val="20"/>
        </w:rPr>
        <w:t xml:space="preserve"> Natural Gas Usage by Customer Segment</w:t>
      </w:r>
    </w:p>
    <w:tbl>
      <w:tblPr>
        <w:tblStyle w:val="GridTable5Dark-Accent3"/>
        <w:tblW w:w="0" w:type="auto"/>
        <w:tblLook w:val="04A0" w:firstRow="1" w:lastRow="0" w:firstColumn="1" w:lastColumn="0" w:noHBand="0" w:noVBand="1"/>
      </w:tblPr>
      <w:tblGrid>
        <w:gridCol w:w="2337"/>
        <w:gridCol w:w="2337"/>
        <w:gridCol w:w="2338"/>
        <w:gridCol w:w="2338"/>
      </w:tblGrid>
      <w:tr w:rsidR="00093808" w14:paraId="2C2C020E" w14:textId="77777777" w:rsidTr="00FB0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46DD627" w14:textId="49455529" w:rsidR="00093808" w:rsidRDefault="00093808" w:rsidP="003C7D28">
            <w:r>
              <w:t>Customer Segment</w:t>
            </w:r>
          </w:p>
        </w:tc>
        <w:tc>
          <w:tcPr>
            <w:tcW w:w="2337" w:type="dxa"/>
          </w:tcPr>
          <w:p w14:paraId="54BD430D" w14:textId="4780C0D1" w:rsidR="00093808" w:rsidRDefault="00093808" w:rsidP="003C7D28">
            <w:pPr>
              <w:cnfStyle w:val="100000000000" w:firstRow="1" w:lastRow="0" w:firstColumn="0" w:lastColumn="0" w:oddVBand="0" w:evenVBand="0" w:oddHBand="0" w:evenHBand="0" w:firstRowFirstColumn="0" w:firstRowLastColumn="0" w:lastRowFirstColumn="0" w:lastRowLastColumn="0"/>
            </w:pPr>
            <w:r>
              <w:t>PG&amp;E</w:t>
            </w:r>
          </w:p>
        </w:tc>
        <w:tc>
          <w:tcPr>
            <w:tcW w:w="2338" w:type="dxa"/>
          </w:tcPr>
          <w:p w14:paraId="7BC21BFE" w14:textId="413D5104" w:rsidR="00093808" w:rsidRDefault="00093808" w:rsidP="003C7D28">
            <w:pPr>
              <w:cnfStyle w:val="100000000000" w:firstRow="1" w:lastRow="0" w:firstColumn="0" w:lastColumn="0" w:oddVBand="0" w:evenVBand="0" w:oddHBand="0" w:evenHBand="0" w:firstRowFirstColumn="0" w:firstRowLastColumn="0" w:lastRowFirstColumn="0" w:lastRowLastColumn="0"/>
            </w:pPr>
            <w:r>
              <w:t>SDG&amp;E</w:t>
            </w:r>
          </w:p>
        </w:tc>
        <w:tc>
          <w:tcPr>
            <w:tcW w:w="2338" w:type="dxa"/>
          </w:tcPr>
          <w:p w14:paraId="60B8CA0B" w14:textId="60A0CD86" w:rsidR="00093808" w:rsidRDefault="00093808" w:rsidP="003C7D28">
            <w:pPr>
              <w:cnfStyle w:val="100000000000" w:firstRow="1" w:lastRow="0" w:firstColumn="0" w:lastColumn="0" w:oddVBand="0" w:evenVBand="0" w:oddHBand="0" w:evenHBand="0" w:firstRowFirstColumn="0" w:firstRowLastColumn="0" w:lastRowFirstColumn="0" w:lastRowLastColumn="0"/>
            </w:pPr>
            <w:r>
              <w:t>SoCalGas</w:t>
            </w:r>
          </w:p>
        </w:tc>
      </w:tr>
      <w:tr w:rsidR="00093808" w14:paraId="6D0D91E4" w14:textId="77777777" w:rsidTr="00FB0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F57A8CE" w14:textId="27CA9B10" w:rsidR="00093808" w:rsidRDefault="00093808" w:rsidP="003C7D28">
            <w:r>
              <w:t>Commercial</w:t>
            </w:r>
          </w:p>
        </w:tc>
        <w:tc>
          <w:tcPr>
            <w:tcW w:w="2337" w:type="dxa"/>
          </w:tcPr>
          <w:p w14:paraId="50F3B8E2" w14:textId="29E2AA31" w:rsidR="00093808" w:rsidRDefault="00093808" w:rsidP="003C7D28">
            <w:pPr>
              <w:cnfStyle w:val="000000100000" w:firstRow="0" w:lastRow="0" w:firstColumn="0" w:lastColumn="0" w:oddVBand="0" w:evenVBand="0" w:oddHBand="1" w:evenHBand="0" w:firstRowFirstColumn="0" w:firstRowLastColumn="0" w:lastRowFirstColumn="0" w:lastRowLastColumn="0"/>
            </w:pPr>
            <w:r>
              <w:t>8%</w:t>
            </w:r>
          </w:p>
        </w:tc>
        <w:tc>
          <w:tcPr>
            <w:tcW w:w="2338" w:type="dxa"/>
          </w:tcPr>
          <w:p w14:paraId="31088BF8" w14:textId="68935EBC" w:rsidR="00093808" w:rsidRDefault="00093808" w:rsidP="003C7D28">
            <w:pPr>
              <w:cnfStyle w:val="000000100000" w:firstRow="0" w:lastRow="0" w:firstColumn="0" w:lastColumn="0" w:oddVBand="0" w:evenVBand="0" w:oddHBand="1" w:evenHBand="0" w:firstRowFirstColumn="0" w:firstRowLastColumn="0" w:lastRowFirstColumn="0" w:lastRowLastColumn="0"/>
            </w:pPr>
            <w:r>
              <w:t>22%</w:t>
            </w:r>
          </w:p>
        </w:tc>
        <w:tc>
          <w:tcPr>
            <w:tcW w:w="2338" w:type="dxa"/>
          </w:tcPr>
          <w:p w14:paraId="2FEE8914" w14:textId="6982D277" w:rsidR="00093808" w:rsidRDefault="00093808" w:rsidP="003C7D28">
            <w:pPr>
              <w:cnfStyle w:val="000000100000" w:firstRow="0" w:lastRow="0" w:firstColumn="0" w:lastColumn="0" w:oddVBand="0" w:evenVBand="0" w:oddHBand="1" w:evenHBand="0" w:firstRowFirstColumn="0" w:firstRowLastColumn="0" w:lastRowFirstColumn="0" w:lastRowLastColumn="0"/>
            </w:pPr>
            <w:r>
              <w:t>8%</w:t>
            </w:r>
          </w:p>
        </w:tc>
      </w:tr>
      <w:tr w:rsidR="00093808" w14:paraId="7A84ACAF" w14:textId="77777777" w:rsidTr="00FB08FE">
        <w:tc>
          <w:tcPr>
            <w:cnfStyle w:val="001000000000" w:firstRow="0" w:lastRow="0" w:firstColumn="1" w:lastColumn="0" w:oddVBand="0" w:evenVBand="0" w:oddHBand="0" w:evenHBand="0" w:firstRowFirstColumn="0" w:firstRowLastColumn="0" w:lastRowFirstColumn="0" w:lastRowLastColumn="0"/>
            <w:tcW w:w="2337" w:type="dxa"/>
          </w:tcPr>
          <w:p w14:paraId="2A7C9FFD" w14:textId="24A83EA3" w:rsidR="00093808" w:rsidRDefault="00093808" w:rsidP="003C7D28">
            <w:r>
              <w:t>Public</w:t>
            </w:r>
          </w:p>
        </w:tc>
        <w:tc>
          <w:tcPr>
            <w:tcW w:w="2337" w:type="dxa"/>
          </w:tcPr>
          <w:p w14:paraId="0A1274C5" w14:textId="5A7A6B03" w:rsidR="00093808" w:rsidRDefault="00093808" w:rsidP="003C7D28">
            <w:pPr>
              <w:cnfStyle w:val="000000000000" w:firstRow="0" w:lastRow="0" w:firstColumn="0" w:lastColumn="0" w:oddVBand="0" w:evenVBand="0" w:oddHBand="0" w:evenHBand="0" w:firstRowFirstColumn="0" w:firstRowLastColumn="0" w:lastRowFirstColumn="0" w:lastRowLastColumn="0"/>
            </w:pPr>
            <w:r>
              <w:t>1%</w:t>
            </w:r>
          </w:p>
        </w:tc>
        <w:tc>
          <w:tcPr>
            <w:tcW w:w="2338" w:type="dxa"/>
          </w:tcPr>
          <w:p w14:paraId="01166477" w14:textId="6A5D7479" w:rsidR="00093808" w:rsidRDefault="00093808" w:rsidP="003C7D28">
            <w:pPr>
              <w:cnfStyle w:val="000000000000" w:firstRow="0" w:lastRow="0" w:firstColumn="0" w:lastColumn="0" w:oddVBand="0" w:evenVBand="0" w:oddHBand="0" w:evenHBand="0" w:firstRowFirstColumn="0" w:firstRowLastColumn="0" w:lastRowFirstColumn="0" w:lastRowLastColumn="0"/>
            </w:pPr>
            <w:r>
              <w:t>16%</w:t>
            </w:r>
          </w:p>
        </w:tc>
        <w:tc>
          <w:tcPr>
            <w:tcW w:w="2338" w:type="dxa"/>
          </w:tcPr>
          <w:p w14:paraId="5318D3DD" w14:textId="1E57748F" w:rsidR="00093808" w:rsidRDefault="00093808" w:rsidP="003C7D28">
            <w:pPr>
              <w:cnfStyle w:val="000000000000" w:firstRow="0" w:lastRow="0" w:firstColumn="0" w:lastColumn="0" w:oddVBand="0" w:evenVBand="0" w:oddHBand="0" w:evenHBand="0" w:firstRowFirstColumn="0" w:firstRowLastColumn="0" w:lastRowFirstColumn="0" w:lastRowLastColumn="0"/>
            </w:pPr>
            <w:r>
              <w:t>3%</w:t>
            </w:r>
          </w:p>
        </w:tc>
      </w:tr>
      <w:tr w:rsidR="00093808" w14:paraId="0E9CDE75" w14:textId="77777777" w:rsidTr="00FB0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CA2B890" w14:textId="2724C06B" w:rsidR="00093808" w:rsidRDefault="00093808" w:rsidP="003C7D28">
            <w:r>
              <w:t>Industrial</w:t>
            </w:r>
          </w:p>
        </w:tc>
        <w:tc>
          <w:tcPr>
            <w:tcW w:w="2337" w:type="dxa"/>
          </w:tcPr>
          <w:p w14:paraId="498F32F8" w14:textId="1E651C97" w:rsidR="00093808" w:rsidRDefault="00093808" w:rsidP="003C7D28">
            <w:pPr>
              <w:cnfStyle w:val="000000100000" w:firstRow="0" w:lastRow="0" w:firstColumn="0" w:lastColumn="0" w:oddVBand="0" w:evenVBand="0" w:oddHBand="1" w:evenHBand="0" w:firstRowFirstColumn="0" w:firstRowLastColumn="0" w:lastRowFirstColumn="0" w:lastRowLastColumn="0"/>
            </w:pPr>
            <w:r>
              <w:t>66%</w:t>
            </w:r>
          </w:p>
        </w:tc>
        <w:tc>
          <w:tcPr>
            <w:tcW w:w="2338" w:type="dxa"/>
          </w:tcPr>
          <w:p w14:paraId="15A338F3" w14:textId="21898F0B" w:rsidR="00093808" w:rsidRDefault="00093808" w:rsidP="003C7D28">
            <w:pPr>
              <w:cnfStyle w:val="000000100000" w:firstRow="0" w:lastRow="0" w:firstColumn="0" w:lastColumn="0" w:oddVBand="0" w:evenVBand="0" w:oddHBand="1" w:evenHBand="0" w:firstRowFirstColumn="0" w:firstRowLastColumn="0" w:lastRowFirstColumn="0" w:lastRowLastColumn="0"/>
            </w:pPr>
            <w:r>
              <w:t>5%</w:t>
            </w:r>
          </w:p>
        </w:tc>
        <w:tc>
          <w:tcPr>
            <w:tcW w:w="2338" w:type="dxa"/>
          </w:tcPr>
          <w:p w14:paraId="31CC887D" w14:textId="23042DAE" w:rsidR="00093808" w:rsidRDefault="00093808" w:rsidP="003C7D28">
            <w:pPr>
              <w:cnfStyle w:val="000000100000" w:firstRow="0" w:lastRow="0" w:firstColumn="0" w:lastColumn="0" w:oddVBand="0" w:evenVBand="0" w:oddHBand="1" w:evenHBand="0" w:firstRowFirstColumn="0" w:firstRowLastColumn="0" w:lastRowFirstColumn="0" w:lastRowLastColumn="0"/>
            </w:pPr>
            <w:r>
              <w:t>25%</w:t>
            </w:r>
          </w:p>
        </w:tc>
      </w:tr>
      <w:tr w:rsidR="00093808" w14:paraId="53FFFEB5" w14:textId="77777777" w:rsidTr="00FB08FE">
        <w:tc>
          <w:tcPr>
            <w:cnfStyle w:val="001000000000" w:firstRow="0" w:lastRow="0" w:firstColumn="1" w:lastColumn="0" w:oddVBand="0" w:evenVBand="0" w:oddHBand="0" w:evenHBand="0" w:firstRowFirstColumn="0" w:firstRowLastColumn="0" w:lastRowFirstColumn="0" w:lastRowLastColumn="0"/>
            <w:tcW w:w="2337" w:type="dxa"/>
          </w:tcPr>
          <w:p w14:paraId="330EE713" w14:textId="6291AF7C" w:rsidR="00093808" w:rsidRDefault="00093808" w:rsidP="003C7D28">
            <w:r>
              <w:t>Agricultural</w:t>
            </w:r>
          </w:p>
        </w:tc>
        <w:tc>
          <w:tcPr>
            <w:tcW w:w="2337" w:type="dxa"/>
          </w:tcPr>
          <w:p w14:paraId="5DC3A30F" w14:textId="5AC604D3" w:rsidR="00093808" w:rsidRDefault="00093808" w:rsidP="003C7D28">
            <w:pPr>
              <w:cnfStyle w:val="000000000000" w:firstRow="0" w:lastRow="0" w:firstColumn="0" w:lastColumn="0" w:oddVBand="0" w:evenVBand="0" w:oddHBand="0" w:evenHBand="0" w:firstRowFirstColumn="0" w:firstRowLastColumn="0" w:lastRowFirstColumn="0" w:lastRowLastColumn="0"/>
            </w:pPr>
            <w:r>
              <w:t>5%</w:t>
            </w:r>
          </w:p>
        </w:tc>
        <w:tc>
          <w:tcPr>
            <w:tcW w:w="2338" w:type="dxa"/>
          </w:tcPr>
          <w:p w14:paraId="35536A84" w14:textId="291641FB" w:rsidR="00093808" w:rsidRDefault="00093808" w:rsidP="003C7D28">
            <w:pPr>
              <w:cnfStyle w:val="000000000000" w:firstRow="0" w:lastRow="0" w:firstColumn="0" w:lastColumn="0" w:oddVBand="0" w:evenVBand="0" w:oddHBand="0" w:evenHBand="0" w:firstRowFirstColumn="0" w:firstRowLastColumn="0" w:lastRowFirstColumn="0" w:lastRowLastColumn="0"/>
            </w:pPr>
            <w:r>
              <w:t>1%</w:t>
            </w:r>
          </w:p>
        </w:tc>
        <w:tc>
          <w:tcPr>
            <w:tcW w:w="2338" w:type="dxa"/>
          </w:tcPr>
          <w:p w14:paraId="5C2A0B4A" w14:textId="2990CA01" w:rsidR="00093808" w:rsidRDefault="00093808" w:rsidP="003C7D28">
            <w:pPr>
              <w:cnfStyle w:val="000000000000" w:firstRow="0" w:lastRow="0" w:firstColumn="0" w:lastColumn="0" w:oddVBand="0" w:evenVBand="0" w:oddHBand="0" w:evenHBand="0" w:firstRowFirstColumn="0" w:firstRowLastColumn="0" w:lastRowFirstColumn="0" w:lastRowLastColumn="0"/>
            </w:pPr>
            <w:r>
              <w:t>2%</w:t>
            </w:r>
          </w:p>
        </w:tc>
      </w:tr>
      <w:tr w:rsidR="00093808" w14:paraId="0DFB0491" w14:textId="77777777" w:rsidTr="00FB0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DB4404" w14:textId="4DBC56B9" w:rsidR="00093808" w:rsidRDefault="00093808" w:rsidP="003C7D28">
            <w:r>
              <w:t>Residential</w:t>
            </w:r>
          </w:p>
        </w:tc>
        <w:tc>
          <w:tcPr>
            <w:tcW w:w="2337" w:type="dxa"/>
          </w:tcPr>
          <w:p w14:paraId="5CCD1442" w14:textId="3E82F49F" w:rsidR="00093808" w:rsidRDefault="00093808" w:rsidP="003C7D28">
            <w:pPr>
              <w:cnfStyle w:val="000000100000" w:firstRow="0" w:lastRow="0" w:firstColumn="0" w:lastColumn="0" w:oddVBand="0" w:evenVBand="0" w:oddHBand="1" w:evenHBand="0" w:firstRowFirstColumn="0" w:firstRowLastColumn="0" w:lastRowFirstColumn="0" w:lastRowLastColumn="0"/>
            </w:pPr>
            <w:r>
              <w:t>20%</w:t>
            </w:r>
          </w:p>
        </w:tc>
        <w:tc>
          <w:tcPr>
            <w:tcW w:w="2338" w:type="dxa"/>
          </w:tcPr>
          <w:p w14:paraId="428F1AC4" w14:textId="27D165BE" w:rsidR="00093808" w:rsidRDefault="00093808" w:rsidP="003C7D28">
            <w:pPr>
              <w:cnfStyle w:val="000000100000" w:firstRow="0" w:lastRow="0" w:firstColumn="0" w:lastColumn="0" w:oddVBand="0" w:evenVBand="0" w:oddHBand="1" w:evenHBand="0" w:firstRowFirstColumn="0" w:firstRowLastColumn="0" w:lastRowFirstColumn="0" w:lastRowLastColumn="0"/>
            </w:pPr>
            <w:r>
              <w:t>57%</w:t>
            </w:r>
          </w:p>
        </w:tc>
        <w:tc>
          <w:tcPr>
            <w:tcW w:w="2338" w:type="dxa"/>
          </w:tcPr>
          <w:p w14:paraId="0702B589" w14:textId="695B88A9" w:rsidR="00093808" w:rsidRDefault="00093808" w:rsidP="003C7D28">
            <w:pPr>
              <w:cnfStyle w:val="000000100000" w:firstRow="0" w:lastRow="0" w:firstColumn="0" w:lastColumn="0" w:oddVBand="0" w:evenVBand="0" w:oddHBand="1" w:evenHBand="0" w:firstRowFirstColumn="0" w:firstRowLastColumn="0" w:lastRowFirstColumn="0" w:lastRowLastColumn="0"/>
            </w:pPr>
            <w:r>
              <w:t>52%</w:t>
            </w:r>
          </w:p>
        </w:tc>
      </w:tr>
    </w:tbl>
    <w:p w14:paraId="0095B280" w14:textId="77777777" w:rsidR="00093808" w:rsidRPr="00D11EC9" w:rsidRDefault="00093808" w:rsidP="003C7D28"/>
    <w:p w14:paraId="63145D15" w14:textId="6F3E2606" w:rsidR="00093808" w:rsidRDefault="00093808" w:rsidP="003C7D28">
      <w:r>
        <w:t xml:space="preserve">Gas usage within these segments varies but is generally comprised of water heating, space heating, process heating, and cooking equipment. Table 2 provides Gas Energy Use Intensities by building type using the Commercial End Use Survey (CEUS) 2022. Table 3 provides the fuel shares from gas-consuming end-uses from CEUS 2022 data. The 2022 CEUS data does not provide gas or electric energy intensity by end-use like the 2006 data did.  Table 4 provides Unit Energy Consumption data as reported in the 2019 Residential Appliance Saturation Survey. </w:t>
      </w:r>
    </w:p>
    <w:p w14:paraId="0B25BEF4" w14:textId="77777777" w:rsidR="00093808" w:rsidRDefault="00093808" w:rsidP="003C7D28"/>
    <w:p w14:paraId="4908CAFA" w14:textId="2526E0D8" w:rsidR="00093808" w:rsidRDefault="00093808" w:rsidP="003C7D28">
      <w:pPr>
        <w:rPr>
          <w:sz w:val="20"/>
          <w:szCs w:val="20"/>
        </w:rPr>
      </w:pPr>
      <w:r w:rsidRPr="00925BCC">
        <w:rPr>
          <w:b/>
          <w:bCs/>
          <w:sz w:val="20"/>
          <w:szCs w:val="20"/>
        </w:rPr>
        <w:t>Table 2.</w:t>
      </w:r>
      <w:r w:rsidRPr="00925BCC">
        <w:rPr>
          <w:sz w:val="20"/>
          <w:szCs w:val="20"/>
        </w:rPr>
        <w:t xml:space="preserve"> </w:t>
      </w:r>
      <w:r>
        <w:rPr>
          <w:sz w:val="20"/>
          <w:szCs w:val="20"/>
        </w:rPr>
        <w:t xml:space="preserve">Commercial </w:t>
      </w:r>
      <w:r w:rsidRPr="00925BCC">
        <w:rPr>
          <w:sz w:val="20"/>
          <w:szCs w:val="20"/>
        </w:rPr>
        <w:t>Natural Gas Energy</w:t>
      </w:r>
      <w:r>
        <w:rPr>
          <w:sz w:val="20"/>
          <w:szCs w:val="20"/>
        </w:rPr>
        <w:t xml:space="preserve"> Floorspace,</w:t>
      </w:r>
      <w:r w:rsidRPr="00925BCC">
        <w:rPr>
          <w:sz w:val="20"/>
          <w:szCs w:val="20"/>
        </w:rPr>
        <w:t xml:space="preserve"> Intensities</w:t>
      </w:r>
      <w:r>
        <w:rPr>
          <w:sz w:val="20"/>
          <w:szCs w:val="20"/>
        </w:rPr>
        <w:t>, and Usage</w:t>
      </w:r>
      <w:r w:rsidRPr="00925BCC">
        <w:rPr>
          <w:sz w:val="20"/>
          <w:szCs w:val="20"/>
        </w:rPr>
        <w:t xml:space="preserve"> by </w:t>
      </w:r>
      <w:r>
        <w:rPr>
          <w:sz w:val="20"/>
          <w:szCs w:val="20"/>
        </w:rPr>
        <w:t>building type using CEUS 2022 data Appendix K</w:t>
      </w:r>
      <w:r>
        <w:rPr>
          <w:rStyle w:val="FootnoteReference"/>
          <w:sz w:val="20"/>
          <w:szCs w:val="20"/>
        </w:rPr>
        <w:footnoteReference w:id="7"/>
      </w:r>
      <w:r>
        <w:rPr>
          <w:sz w:val="20"/>
          <w:szCs w:val="20"/>
        </w:rPr>
        <w:t xml:space="preserve">. </w:t>
      </w:r>
    </w:p>
    <w:p w14:paraId="41188449" w14:textId="77777777" w:rsidR="00093808" w:rsidRPr="00925BCC" w:rsidRDefault="00093808" w:rsidP="003C7D28">
      <w:pPr>
        <w:rPr>
          <w:sz w:val="20"/>
          <w:szCs w:val="20"/>
        </w:rPr>
      </w:pPr>
    </w:p>
    <w:tbl>
      <w:tblPr>
        <w:tblStyle w:val="GridTable5Dark-Accent3"/>
        <w:tblW w:w="0" w:type="auto"/>
        <w:tblLook w:val="04A0" w:firstRow="1" w:lastRow="0" w:firstColumn="1" w:lastColumn="0" w:noHBand="0" w:noVBand="1"/>
      </w:tblPr>
      <w:tblGrid>
        <w:gridCol w:w="2335"/>
        <w:gridCol w:w="1655"/>
        <w:gridCol w:w="1870"/>
        <w:gridCol w:w="1870"/>
      </w:tblGrid>
      <w:tr w:rsidR="00093808" w:rsidRPr="00A67BE2" w14:paraId="5DF24FB9" w14:textId="77777777" w:rsidTr="002925A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10CB5EF3" w14:textId="77777777" w:rsidR="00093808" w:rsidRPr="00A67BE2" w:rsidRDefault="00093808" w:rsidP="009F2076">
            <w:pPr>
              <w:widowControl/>
              <w:autoSpaceDE/>
              <w:autoSpaceDN/>
              <w:rPr>
                <w:rFonts w:eastAsia="Times New Roman"/>
              </w:rPr>
            </w:pPr>
            <w:r w:rsidRPr="00A67BE2">
              <w:rPr>
                <w:rFonts w:eastAsia="Times New Roman"/>
              </w:rPr>
              <w:t>Building-type</w:t>
            </w:r>
          </w:p>
        </w:tc>
        <w:tc>
          <w:tcPr>
            <w:tcW w:w="1655" w:type="dxa"/>
            <w:noWrap/>
            <w:hideMark/>
          </w:tcPr>
          <w:p w14:paraId="403368D1" w14:textId="77777777" w:rsidR="00093808" w:rsidRPr="00A67BE2" w:rsidRDefault="00093808" w:rsidP="009F2076">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67BE2">
              <w:rPr>
                <w:rFonts w:eastAsia="Times New Roman"/>
              </w:rPr>
              <w:t>Floorspace (</w:t>
            </w:r>
            <w:proofErr w:type="spellStart"/>
            <w:r w:rsidRPr="00A67BE2">
              <w:rPr>
                <w:rFonts w:eastAsia="Times New Roman"/>
              </w:rPr>
              <w:t>ksqft</w:t>
            </w:r>
            <w:proofErr w:type="spellEnd"/>
            <w:r w:rsidRPr="00A67BE2">
              <w:rPr>
                <w:rFonts w:eastAsia="Times New Roman"/>
              </w:rPr>
              <w:t>)</w:t>
            </w:r>
          </w:p>
        </w:tc>
        <w:tc>
          <w:tcPr>
            <w:tcW w:w="1870" w:type="dxa"/>
            <w:noWrap/>
            <w:hideMark/>
          </w:tcPr>
          <w:p w14:paraId="0F48DF3D" w14:textId="77777777" w:rsidR="00093808" w:rsidRPr="00A67BE2" w:rsidRDefault="00093808" w:rsidP="009F2076">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67BE2">
              <w:rPr>
                <w:rFonts w:eastAsia="Times New Roman"/>
              </w:rPr>
              <w:t>Gas Energy Intensity (</w:t>
            </w:r>
            <w:proofErr w:type="spellStart"/>
            <w:r w:rsidRPr="00A67BE2">
              <w:rPr>
                <w:rFonts w:eastAsia="Times New Roman"/>
              </w:rPr>
              <w:t>kBTU</w:t>
            </w:r>
            <w:proofErr w:type="spellEnd"/>
            <w:r w:rsidRPr="00A67BE2">
              <w:rPr>
                <w:rFonts w:eastAsia="Times New Roman"/>
              </w:rPr>
              <w:t>/</w:t>
            </w:r>
            <w:proofErr w:type="spellStart"/>
            <w:r w:rsidRPr="00A67BE2">
              <w:rPr>
                <w:rFonts w:eastAsia="Times New Roman"/>
              </w:rPr>
              <w:t>sqft</w:t>
            </w:r>
            <w:proofErr w:type="spellEnd"/>
            <w:r w:rsidRPr="00A67BE2">
              <w:rPr>
                <w:rFonts w:eastAsia="Times New Roman"/>
              </w:rPr>
              <w:t>)</w:t>
            </w:r>
          </w:p>
        </w:tc>
        <w:tc>
          <w:tcPr>
            <w:tcW w:w="1870" w:type="dxa"/>
            <w:noWrap/>
            <w:hideMark/>
          </w:tcPr>
          <w:p w14:paraId="79A8DB4F" w14:textId="77777777" w:rsidR="00093808" w:rsidRPr="00A67BE2" w:rsidRDefault="00093808" w:rsidP="009F2076">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67BE2">
              <w:rPr>
                <w:rFonts w:eastAsia="Times New Roman"/>
              </w:rPr>
              <w:t>Gas Usage (Therms)</w:t>
            </w:r>
          </w:p>
        </w:tc>
      </w:tr>
      <w:tr w:rsidR="00093808" w:rsidRPr="009F2076" w14:paraId="48B5C0FE"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33E946F2" w14:textId="77777777" w:rsidR="00093808" w:rsidRPr="00A67BE2" w:rsidRDefault="00093808" w:rsidP="009F2076">
            <w:pPr>
              <w:widowControl/>
              <w:autoSpaceDE/>
              <w:autoSpaceDN/>
              <w:rPr>
                <w:rFonts w:eastAsia="Times New Roman"/>
              </w:rPr>
            </w:pPr>
            <w:r w:rsidRPr="00A67BE2">
              <w:rPr>
                <w:rFonts w:eastAsia="Times New Roman"/>
              </w:rPr>
              <w:t>College</w:t>
            </w:r>
          </w:p>
        </w:tc>
        <w:tc>
          <w:tcPr>
            <w:tcW w:w="1655" w:type="dxa"/>
            <w:noWrap/>
            <w:hideMark/>
          </w:tcPr>
          <w:p w14:paraId="7AF45EFB"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340,848</w:t>
            </w:r>
          </w:p>
        </w:tc>
        <w:tc>
          <w:tcPr>
            <w:tcW w:w="1870" w:type="dxa"/>
            <w:noWrap/>
            <w:hideMark/>
          </w:tcPr>
          <w:p w14:paraId="0BECBC45"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56.17</w:t>
            </w:r>
          </w:p>
        </w:tc>
        <w:tc>
          <w:tcPr>
            <w:tcW w:w="1870" w:type="dxa"/>
            <w:noWrap/>
            <w:hideMark/>
          </w:tcPr>
          <w:p w14:paraId="13FF6AED"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191,468,382</w:t>
            </w:r>
          </w:p>
        </w:tc>
      </w:tr>
      <w:tr w:rsidR="00093808" w:rsidRPr="009F2076" w14:paraId="12BEE6F8"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7FB9A144" w14:textId="77777777" w:rsidR="00093808" w:rsidRPr="00A67BE2" w:rsidRDefault="00093808" w:rsidP="009F2076">
            <w:pPr>
              <w:widowControl/>
              <w:autoSpaceDE/>
              <w:autoSpaceDN/>
              <w:rPr>
                <w:rFonts w:eastAsia="Times New Roman"/>
              </w:rPr>
            </w:pPr>
            <w:r w:rsidRPr="00A67BE2">
              <w:rPr>
                <w:rFonts w:eastAsia="Times New Roman"/>
              </w:rPr>
              <w:t>Food Stores</w:t>
            </w:r>
          </w:p>
        </w:tc>
        <w:tc>
          <w:tcPr>
            <w:tcW w:w="1655" w:type="dxa"/>
            <w:noWrap/>
            <w:hideMark/>
          </w:tcPr>
          <w:p w14:paraId="5960B78B"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228,538</w:t>
            </w:r>
          </w:p>
        </w:tc>
        <w:tc>
          <w:tcPr>
            <w:tcW w:w="1870" w:type="dxa"/>
            <w:noWrap/>
            <w:hideMark/>
          </w:tcPr>
          <w:p w14:paraId="6E6E3E3D"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57.42</w:t>
            </w:r>
          </w:p>
        </w:tc>
        <w:tc>
          <w:tcPr>
            <w:tcW w:w="1870" w:type="dxa"/>
            <w:noWrap/>
            <w:hideMark/>
          </w:tcPr>
          <w:p w14:paraId="165695D6"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131,225,728</w:t>
            </w:r>
          </w:p>
        </w:tc>
      </w:tr>
      <w:tr w:rsidR="00093808" w:rsidRPr="009F2076" w14:paraId="256C8543"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0AF82B9" w14:textId="77777777" w:rsidR="00093808" w:rsidRPr="00A67BE2" w:rsidRDefault="00093808" w:rsidP="009F2076">
            <w:pPr>
              <w:widowControl/>
              <w:autoSpaceDE/>
              <w:autoSpaceDN/>
              <w:rPr>
                <w:rFonts w:eastAsia="Times New Roman"/>
              </w:rPr>
            </w:pPr>
            <w:r w:rsidRPr="00A67BE2">
              <w:rPr>
                <w:rFonts w:eastAsia="Times New Roman"/>
              </w:rPr>
              <w:t>Health Care</w:t>
            </w:r>
          </w:p>
        </w:tc>
        <w:tc>
          <w:tcPr>
            <w:tcW w:w="1655" w:type="dxa"/>
            <w:noWrap/>
            <w:hideMark/>
          </w:tcPr>
          <w:p w14:paraId="58E69CB8"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430,830</w:t>
            </w:r>
          </w:p>
        </w:tc>
        <w:tc>
          <w:tcPr>
            <w:tcW w:w="1870" w:type="dxa"/>
            <w:noWrap/>
            <w:hideMark/>
          </w:tcPr>
          <w:p w14:paraId="2217341C"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61.75</w:t>
            </w:r>
          </w:p>
        </w:tc>
        <w:tc>
          <w:tcPr>
            <w:tcW w:w="1870" w:type="dxa"/>
            <w:noWrap/>
            <w:hideMark/>
          </w:tcPr>
          <w:p w14:paraId="6F36D3E9"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266,053,842</w:t>
            </w:r>
          </w:p>
        </w:tc>
      </w:tr>
      <w:tr w:rsidR="00093808" w:rsidRPr="009F2076" w14:paraId="3E72BF65"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F41194E" w14:textId="77777777" w:rsidR="00093808" w:rsidRPr="00A67BE2" w:rsidRDefault="00093808" w:rsidP="009F2076">
            <w:pPr>
              <w:widowControl/>
              <w:autoSpaceDE/>
              <w:autoSpaceDN/>
              <w:rPr>
                <w:rFonts w:eastAsia="Times New Roman"/>
              </w:rPr>
            </w:pPr>
            <w:r w:rsidRPr="00A67BE2">
              <w:rPr>
                <w:rFonts w:eastAsia="Times New Roman"/>
              </w:rPr>
              <w:t>Lodging</w:t>
            </w:r>
          </w:p>
        </w:tc>
        <w:tc>
          <w:tcPr>
            <w:tcW w:w="1655" w:type="dxa"/>
            <w:noWrap/>
            <w:hideMark/>
          </w:tcPr>
          <w:p w14:paraId="094A64AB"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443,933</w:t>
            </w:r>
          </w:p>
        </w:tc>
        <w:tc>
          <w:tcPr>
            <w:tcW w:w="1870" w:type="dxa"/>
            <w:noWrap/>
            <w:hideMark/>
          </w:tcPr>
          <w:p w14:paraId="0604AA13"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33.91</w:t>
            </w:r>
          </w:p>
        </w:tc>
        <w:tc>
          <w:tcPr>
            <w:tcW w:w="1870" w:type="dxa"/>
            <w:noWrap/>
            <w:hideMark/>
          </w:tcPr>
          <w:p w14:paraId="7BFD45FC"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150,520,296</w:t>
            </w:r>
          </w:p>
        </w:tc>
      </w:tr>
      <w:tr w:rsidR="00093808" w:rsidRPr="009F2076" w14:paraId="245868DD"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5325606E" w14:textId="77777777" w:rsidR="00093808" w:rsidRPr="00A67BE2" w:rsidRDefault="00093808" w:rsidP="009F2076">
            <w:pPr>
              <w:widowControl/>
              <w:autoSpaceDE/>
              <w:autoSpaceDN/>
              <w:rPr>
                <w:rFonts w:eastAsia="Times New Roman"/>
              </w:rPr>
            </w:pPr>
            <w:r w:rsidRPr="00A67BE2">
              <w:rPr>
                <w:rFonts w:eastAsia="Times New Roman"/>
              </w:rPr>
              <w:t>Miscellaneous</w:t>
            </w:r>
          </w:p>
        </w:tc>
        <w:tc>
          <w:tcPr>
            <w:tcW w:w="1655" w:type="dxa"/>
            <w:noWrap/>
            <w:hideMark/>
          </w:tcPr>
          <w:p w14:paraId="4F78ED58"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1,595,232</w:t>
            </w:r>
          </w:p>
        </w:tc>
        <w:tc>
          <w:tcPr>
            <w:tcW w:w="1870" w:type="dxa"/>
            <w:noWrap/>
            <w:hideMark/>
          </w:tcPr>
          <w:p w14:paraId="6D361BB0"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32.68</w:t>
            </w:r>
          </w:p>
        </w:tc>
        <w:tc>
          <w:tcPr>
            <w:tcW w:w="1870" w:type="dxa"/>
            <w:noWrap/>
            <w:hideMark/>
          </w:tcPr>
          <w:p w14:paraId="4FD11D28"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521,248,748</w:t>
            </w:r>
          </w:p>
        </w:tc>
      </w:tr>
      <w:tr w:rsidR="00093808" w:rsidRPr="009F2076" w14:paraId="69541A2B"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6EBBBE40" w14:textId="77777777" w:rsidR="00093808" w:rsidRPr="00A67BE2" w:rsidRDefault="00093808" w:rsidP="009F2076">
            <w:pPr>
              <w:widowControl/>
              <w:autoSpaceDE/>
              <w:autoSpaceDN/>
              <w:rPr>
                <w:rFonts w:eastAsia="Times New Roman"/>
              </w:rPr>
            </w:pPr>
            <w:r w:rsidRPr="00A67BE2">
              <w:rPr>
                <w:rFonts w:eastAsia="Times New Roman"/>
              </w:rPr>
              <w:t>Office, Large</w:t>
            </w:r>
          </w:p>
        </w:tc>
        <w:tc>
          <w:tcPr>
            <w:tcW w:w="1655" w:type="dxa"/>
            <w:noWrap/>
            <w:hideMark/>
          </w:tcPr>
          <w:p w14:paraId="1715AECF"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1,243,531</w:t>
            </w:r>
          </w:p>
        </w:tc>
        <w:tc>
          <w:tcPr>
            <w:tcW w:w="1870" w:type="dxa"/>
            <w:noWrap/>
            <w:hideMark/>
          </w:tcPr>
          <w:p w14:paraId="35E00707"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18.02</w:t>
            </w:r>
          </w:p>
        </w:tc>
        <w:tc>
          <w:tcPr>
            <w:tcW w:w="1870" w:type="dxa"/>
            <w:noWrap/>
            <w:hideMark/>
          </w:tcPr>
          <w:p w14:paraId="6E7A6A7C"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224,051,256</w:t>
            </w:r>
          </w:p>
        </w:tc>
      </w:tr>
      <w:tr w:rsidR="00093808" w:rsidRPr="009F2076" w14:paraId="2D231955"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5A7CDF07" w14:textId="77777777" w:rsidR="00093808" w:rsidRPr="00A67BE2" w:rsidRDefault="00093808" w:rsidP="009F2076">
            <w:pPr>
              <w:widowControl/>
              <w:autoSpaceDE/>
              <w:autoSpaceDN/>
              <w:rPr>
                <w:rFonts w:eastAsia="Times New Roman"/>
              </w:rPr>
            </w:pPr>
            <w:r w:rsidRPr="00A67BE2">
              <w:rPr>
                <w:rFonts w:eastAsia="Times New Roman"/>
              </w:rPr>
              <w:t>Office, Small</w:t>
            </w:r>
          </w:p>
        </w:tc>
        <w:tc>
          <w:tcPr>
            <w:tcW w:w="1655" w:type="dxa"/>
            <w:noWrap/>
            <w:hideMark/>
          </w:tcPr>
          <w:p w14:paraId="1DE8BB8B"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729,221</w:t>
            </w:r>
          </w:p>
        </w:tc>
        <w:tc>
          <w:tcPr>
            <w:tcW w:w="1870" w:type="dxa"/>
            <w:noWrap/>
            <w:hideMark/>
          </w:tcPr>
          <w:p w14:paraId="046F79C0"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18.41</w:t>
            </w:r>
          </w:p>
        </w:tc>
        <w:tc>
          <w:tcPr>
            <w:tcW w:w="1870" w:type="dxa"/>
            <w:noWrap/>
            <w:hideMark/>
          </w:tcPr>
          <w:p w14:paraId="439E5B58"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134,268,858</w:t>
            </w:r>
          </w:p>
        </w:tc>
      </w:tr>
      <w:tr w:rsidR="00093808" w:rsidRPr="009F2076" w14:paraId="4D84E58B"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368FADF7" w14:textId="77777777" w:rsidR="00093808" w:rsidRPr="00A67BE2" w:rsidRDefault="00093808" w:rsidP="009F2076">
            <w:pPr>
              <w:widowControl/>
              <w:autoSpaceDE/>
              <w:autoSpaceDN/>
              <w:rPr>
                <w:rFonts w:eastAsia="Times New Roman"/>
              </w:rPr>
            </w:pPr>
            <w:r w:rsidRPr="00A67BE2">
              <w:rPr>
                <w:rFonts w:eastAsia="Times New Roman"/>
              </w:rPr>
              <w:t>Ref. Warehouse</w:t>
            </w:r>
          </w:p>
        </w:tc>
        <w:tc>
          <w:tcPr>
            <w:tcW w:w="1655" w:type="dxa"/>
            <w:noWrap/>
            <w:hideMark/>
          </w:tcPr>
          <w:p w14:paraId="60F1A110"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137,044</w:t>
            </w:r>
          </w:p>
        </w:tc>
        <w:tc>
          <w:tcPr>
            <w:tcW w:w="1870" w:type="dxa"/>
            <w:noWrap/>
            <w:hideMark/>
          </w:tcPr>
          <w:p w14:paraId="30BCBC47"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3.56</w:t>
            </w:r>
          </w:p>
        </w:tc>
        <w:tc>
          <w:tcPr>
            <w:tcW w:w="1870" w:type="dxa"/>
            <w:noWrap/>
            <w:hideMark/>
          </w:tcPr>
          <w:p w14:paraId="538FC4FC"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4,882,188</w:t>
            </w:r>
          </w:p>
        </w:tc>
      </w:tr>
      <w:tr w:rsidR="00093808" w:rsidRPr="009F2076" w14:paraId="2FC174F2"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7E66D1D8" w14:textId="77777777" w:rsidR="00093808" w:rsidRPr="00A67BE2" w:rsidRDefault="00093808" w:rsidP="009F2076">
            <w:pPr>
              <w:widowControl/>
              <w:autoSpaceDE/>
              <w:autoSpaceDN/>
              <w:rPr>
                <w:rFonts w:eastAsia="Times New Roman"/>
              </w:rPr>
            </w:pPr>
            <w:r w:rsidRPr="00A67BE2">
              <w:rPr>
                <w:rFonts w:eastAsia="Times New Roman"/>
              </w:rPr>
              <w:t>Restaurant</w:t>
            </w:r>
          </w:p>
        </w:tc>
        <w:tc>
          <w:tcPr>
            <w:tcW w:w="1655" w:type="dxa"/>
            <w:noWrap/>
            <w:hideMark/>
          </w:tcPr>
          <w:p w14:paraId="4D23F13A"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211,663</w:t>
            </w:r>
          </w:p>
        </w:tc>
        <w:tc>
          <w:tcPr>
            <w:tcW w:w="1870" w:type="dxa"/>
            <w:noWrap/>
            <w:hideMark/>
          </w:tcPr>
          <w:p w14:paraId="76EA2385"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206.73</w:t>
            </w:r>
          </w:p>
        </w:tc>
        <w:tc>
          <w:tcPr>
            <w:tcW w:w="1870" w:type="dxa"/>
            <w:noWrap/>
            <w:hideMark/>
          </w:tcPr>
          <w:p w14:paraId="0F61A346"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437,560,506</w:t>
            </w:r>
          </w:p>
        </w:tc>
      </w:tr>
      <w:tr w:rsidR="00093808" w:rsidRPr="009F2076" w14:paraId="7DC548C6"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2BB02A74" w14:textId="77777777" w:rsidR="00093808" w:rsidRPr="00A67BE2" w:rsidRDefault="00093808" w:rsidP="009F2076">
            <w:pPr>
              <w:widowControl/>
              <w:autoSpaceDE/>
              <w:autoSpaceDN/>
              <w:rPr>
                <w:rFonts w:eastAsia="Times New Roman"/>
              </w:rPr>
            </w:pPr>
            <w:r w:rsidRPr="00A67BE2">
              <w:rPr>
                <w:rFonts w:eastAsia="Times New Roman"/>
              </w:rPr>
              <w:t>Retail</w:t>
            </w:r>
          </w:p>
        </w:tc>
        <w:tc>
          <w:tcPr>
            <w:tcW w:w="1655" w:type="dxa"/>
            <w:noWrap/>
            <w:hideMark/>
          </w:tcPr>
          <w:p w14:paraId="2038066A"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1,038,308</w:t>
            </w:r>
          </w:p>
        </w:tc>
        <w:tc>
          <w:tcPr>
            <w:tcW w:w="1870" w:type="dxa"/>
            <w:noWrap/>
            <w:hideMark/>
          </w:tcPr>
          <w:p w14:paraId="205ADD50"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7.13</w:t>
            </w:r>
          </w:p>
        </w:tc>
        <w:tc>
          <w:tcPr>
            <w:tcW w:w="1870" w:type="dxa"/>
            <w:noWrap/>
            <w:hideMark/>
          </w:tcPr>
          <w:p w14:paraId="58E90081"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74,011,836</w:t>
            </w:r>
          </w:p>
        </w:tc>
      </w:tr>
      <w:tr w:rsidR="00093808" w:rsidRPr="009F2076" w14:paraId="178E9019"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1485D40F" w14:textId="77777777" w:rsidR="00093808" w:rsidRPr="00A67BE2" w:rsidRDefault="00093808" w:rsidP="009F2076">
            <w:pPr>
              <w:widowControl/>
              <w:autoSpaceDE/>
              <w:autoSpaceDN/>
              <w:rPr>
                <w:rFonts w:eastAsia="Times New Roman"/>
              </w:rPr>
            </w:pPr>
            <w:r w:rsidRPr="00A67BE2">
              <w:rPr>
                <w:rFonts w:eastAsia="Times New Roman"/>
              </w:rPr>
              <w:t>School</w:t>
            </w:r>
          </w:p>
        </w:tc>
        <w:tc>
          <w:tcPr>
            <w:tcW w:w="1655" w:type="dxa"/>
            <w:noWrap/>
            <w:hideMark/>
          </w:tcPr>
          <w:p w14:paraId="41A28B6C"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648,977</w:t>
            </w:r>
          </w:p>
        </w:tc>
        <w:tc>
          <w:tcPr>
            <w:tcW w:w="1870" w:type="dxa"/>
            <w:noWrap/>
            <w:hideMark/>
          </w:tcPr>
          <w:p w14:paraId="13CB73FF"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10.50</w:t>
            </w:r>
          </w:p>
        </w:tc>
        <w:tc>
          <w:tcPr>
            <w:tcW w:w="1870" w:type="dxa"/>
            <w:noWrap/>
            <w:hideMark/>
          </w:tcPr>
          <w:p w14:paraId="7F2DB53B"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68,152,446</w:t>
            </w:r>
          </w:p>
        </w:tc>
      </w:tr>
      <w:tr w:rsidR="00093808" w:rsidRPr="009F2076" w14:paraId="7E9C1189"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533AC5B4" w14:textId="77777777" w:rsidR="00093808" w:rsidRPr="00A67BE2" w:rsidRDefault="00093808" w:rsidP="009F2076">
            <w:pPr>
              <w:widowControl/>
              <w:autoSpaceDE/>
              <w:autoSpaceDN/>
              <w:rPr>
                <w:rFonts w:eastAsia="Times New Roman"/>
              </w:rPr>
            </w:pPr>
            <w:r w:rsidRPr="00A67BE2">
              <w:rPr>
                <w:rFonts w:eastAsia="Times New Roman"/>
              </w:rPr>
              <w:t>Warehouse</w:t>
            </w:r>
          </w:p>
        </w:tc>
        <w:tc>
          <w:tcPr>
            <w:tcW w:w="1655" w:type="dxa"/>
            <w:noWrap/>
            <w:hideMark/>
          </w:tcPr>
          <w:p w14:paraId="1BD94190"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1,142,342</w:t>
            </w:r>
          </w:p>
        </w:tc>
        <w:tc>
          <w:tcPr>
            <w:tcW w:w="1870" w:type="dxa"/>
            <w:noWrap/>
            <w:hideMark/>
          </w:tcPr>
          <w:p w14:paraId="78B4E8E8"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4.10</w:t>
            </w:r>
          </w:p>
        </w:tc>
        <w:tc>
          <w:tcPr>
            <w:tcW w:w="1870" w:type="dxa"/>
            <w:noWrap/>
            <w:hideMark/>
          </w:tcPr>
          <w:p w14:paraId="4F5803F1"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46,871,192</w:t>
            </w:r>
          </w:p>
        </w:tc>
      </w:tr>
      <w:tr w:rsidR="00093808" w:rsidRPr="009F2076" w14:paraId="301D3680"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44599E91" w14:textId="77777777" w:rsidR="00093808" w:rsidRPr="00A67BE2" w:rsidRDefault="00093808" w:rsidP="009F2076">
            <w:pPr>
              <w:widowControl/>
              <w:autoSpaceDE/>
              <w:autoSpaceDN/>
              <w:rPr>
                <w:rFonts w:eastAsia="Times New Roman"/>
              </w:rPr>
            </w:pPr>
            <w:r w:rsidRPr="00A67BE2">
              <w:rPr>
                <w:rFonts w:eastAsia="Times New Roman"/>
              </w:rPr>
              <w:t>All Commercial</w:t>
            </w:r>
          </w:p>
        </w:tc>
        <w:tc>
          <w:tcPr>
            <w:tcW w:w="1655" w:type="dxa"/>
            <w:noWrap/>
            <w:hideMark/>
          </w:tcPr>
          <w:p w14:paraId="5168CC12"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8,190,467</w:t>
            </w:r>
          </w:p>
        </w:tc>
        <w:tc>
          <w:tcPr>
            <w:tcW w:w="1870" w:type="dxa"/>
            <w:noWrap/>
            <w:hideMark/>
          </w:tcPr>
          <w:p w14:paraId="3C699FD6"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27.47</w:t>
            </w:r>
          </w:p>
        </w:tc>
        <w:tc>
          <w:tcPr>
            <w:tcW w:w="1870" w:type="dxa"/>
            <w:noWrap/>
            <w:hideMark/>
          </w:tcPr>
          <w:p w14:paraId="3B25B1A7"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225,031,528</w:t>
            </w:r>
          </w:p>
        </w:tc>
      </w:tr>
      <w:tr w:rsidR="00093808" w:rsidRPr="009F2076" w14:paraId="05367CAF" w14:textId="77777777" w:rsidTr="002925AD">
        <w:trPr>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6BC09660" w14:textId="77777777" w:rsidR="00093808" w:rsidRPr="00A67BE2" w:rsidRDefault="00093808" w:rsidP="009F2076">
            <w:pPr>
              <w:widowControl/>
              <w:autoSpaceDE/>
              <w:autoSpaceDN/>
              <w:rPr>
                <w:rFonts w:eastAsia="Times New Roman"/>
              </w:rPr>
            </w:pPr>
            <w:r w:rsidRPr="00A67BE2">
              <w:rPr>
                <w:rFonts w:eastAsia="Times New Roman"/>
              </w:rPr>
              <w:t>All Office</w:t>
            </w:r>
          </w:p>
        </w:tc>
        <w:tc>
          <w:tcPr>
            <w:tcW w:w="1655" w:type="dxa"/>
            <w:noWrap/>
            <w:hideMark/>
          </w:tcPr>
          <w:p w14:paraId="3838478C"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1,972,752</w:t>
            </w:r>
          </w:p>
        </w:tc>
        <w:tc>
          <w:tcPr>
            <w:tcW w:w="1870" w:type="dxa"/>
            <w:noWrap/>
            <w:hideMark/>
          </w:tcPr>
          <w:p w14:paraId="621D97FB"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18.16</w:t>
            </w:r>
          </w:p>
        </w:tc>
        <w:tc>
          <w:tcPr>
            <w:tcW w:w="1870" w:type="dxa"/>
            <w:noWrap/>
            <w:hideMark/>
          </w:tcPr>
          <w:p w14:paraId="245C5506" w14:textId="77777777" w:rsidR="00093808" w:rsidRPr="009F2076" w:rsidRDefault="00093808" w:rsidP="009F207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F2076">
              <w:rPr>
                <w:rFonts w:eastAsia="Times New Roman"/>
                <w:color w:val="000000"/>
              </w:rPr>
              <w:t>35,832,011</w:t>
            </w:r>
          </w:p>
        </w:tc>
      </w:tr>
      <w:tr w:rsidR="00093808" w:rsidRPr="009F2076" w14:paraId="0645C6D3" w14:textId="77777777" w:rsidTr="002925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noWrap/>
            <w:hideMark/>
          </w:tcPr>
          <w:p w14:paraId="1659ED37" w14:textId="77777777" w:rsidR="00093808" w:rsidRPr="00A67BE2" w:rsidRDefault="00093808" w:rsidP="009F2076">
            <w:pPr>
              <w:widowControl/>
              <w:autoSpaceDE/>
              <w:autoSpaceDN/>
              <w:rPr>
                <w:rFonts w:eastAsia="Times New Roman"/>
              </w:rPr>
            </w:pPr>
            <w:r w:rsidRPr="00A67BE2">
              <w:rPr>
                <w:rFonts w:eastAsia="Times New Roman"/>
              </w:rPr>
              <w:t>All Warehouse</w:t>
            </w:r>
          </w:p>
        </w:tc>
        <w:tc>
          <w:tcPr>
            <w:tcW w:w="1655" w:type="dxa"/>
            <w:noWrap/>
            <w:hideMark/>
          </w:tcPr>
          <w:p w14:paraId="5195565B"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1,279,385</w:t>
            </w:r>
          </w:p>
        </w:tc>
        <w:tc>
          <w:tcPr>
            <w:tcW w:w="1870" w:type="dxa"/>
            <w:noWrap/>
            <w:hideMark/>
          </w:tcPr>
          <w:p w14:paraId="691EC0D1"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4.05</w:t>
            </w:r>
          </w:p>
        </w:tc>
        <w:tc>
          <w:tcPr>
            <w:tcW w:w="1870" w:type="dxa"/>
            <w:noWrap/>
            <w:hideMark/>
          </w:tcPr>
          <w:p w14:paraId="5BD7F102" w14:textId="77777777" w:rsidR="00093808" w:rsidRPr="009F2076" w:rsidRDefault="00093808" w:rsidP="009F207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F2076">
              <w:rPr>
                <w:rFonts w:eastAsia="Times New Roman"/>
                <w:color w:val="000000"/>
              </w:rPr>
              <w:t>5,175,338</w:t>
            </w:r>
          </w:p>
        </w:tc>
      </w:tr>
    </w:tbl>
    <w:p w14:paraId="3D77B872" w14:textId="77777777" w:rsidR="00093808" w:rsidRDefault="00093808" w:rsidP="00512AA4">
      <w:pPr>
        <w:rPr>
          <w:b/>
          <w:bCs/>
          <w:sz w:val="20"/>
          <w:szCs w:val="20"/>
        </w:rPr>
      </w:pPr>
    </w:p>
    <w:p w14:paraId="5CDD0BA3" w14:textId="77777777" w:rsidR="00093808" w:rsidRDefault="00093808" w:rsidP="00512AA4">
      <w:pPr>
        <w:rPr>
          <w:b/>
          <w:bCs/>
          <w:sz w:val="20"/>
          <w:szCs w:val="20"/>
        </w:rPr>
      </w:pPr>
    </w:p>
    <w:p w14:paraId="74CE6FE2" w14:textId="5229021E" w:rsidR="00093808" w:rsidRDefault="00093808" w:rsidP="00512AA4">
      <w:pPr>
        <w:rPr>
          <w:sz w:val="20"/>
          <w:szCs w:val="20"/>
        </w:rPr>
      </w:pPr>
      <w:r w:rsidRPr="005D00C9">
        <w:rPr>
          <w:b/>
          <w:bCs/>
          <w:sz w:val="20"/>
          <w:szCs w:val="20"/>
        </w:rPr>
        <w:t xml:space="preserve">Table </w:t>
      </w:r>
      <w:r>
        <w:rPr>
          <w:b/>
          <w:bCs/>
          <w:sz w:val="20"/>
          <w:szCs w:val="20"/>
        </w:rPr>
        <w:t>3</w:t>
      </w:r>
      <w:r w:rsidRPr="005D00C9">
        <w:rPr>
          <w:b/>
          <w:bCs/>
          <w:sz w:val="20"/>
          <w:szCs w:val="20"/>
        </w:rPr>
        <w:t xml:space="preserve">. </w:t>
      </w:r>
      <w:r>
        <w:rPr>
          <w:b/>
          <w:bCs/>
          <w:sz w:val="20"/>
          <w:szCs w:val="20"/>
        </w:rPr>
        <w:t>C</w:t>
      </w:r>
      <w:r>
        <w:rPr>
          <w:sz w:val="20"/>
          <w:szCs w:val="20"/>
        </w:rPr>
        <w:t xml:space="preserve">ommercial Gas Consuming </w:t>
      </w:r>
      <w:r w:rsidRPr="005D00C9">
        <w:rPr>
          <w:sz w:val="20"/>
          <w:szCs w:val="20"/>
        </w:rPr>
        <w:t>End Use</w:t>
      </w:r>
      <w:r>
        <w:rPr>
          <w:sz w:val="20"/>
          <w:szCs w:val="20"/>
        </w:rPr>
        <w:t>s from 2022 CEUS Appendix K</w:t>
      </w:r>
      <w:r>
        <w:rPr>
          <w:rStyle w:val="FootnoteReference"/>
          <w:sz w:val="20"/>
          <w:szCs w:val="20"/>
        </w:rPr>
        <w:footnoteReference w:id="8"/>
      </w:r>
    </w:p>
    <w:p w14:paraId="49314A82" w14:textId="77777777" w:rsidR="00093808" w:rsidRDefault="00093808" w:rsidP="00512AA4">
      <w:pPr>
        <w:rPr>
          <w:sz w:val="20"/>
          <w:szCs w:val="20"/>
        </w:rPr>
      </w:pPr>
    </w:p>
    <w:tbl>
      <w:tblPr>
        <w:tblStyle w:val="GridTable5Dark-Accent3"/>
        <w:tblW w:w="9715" w:type="dxa"/>
        <w:tblLayout w:type="fixed"/>
        <w:tblLook w:val="04A0" w:firstRow="1" w:lastRow="0" w:firstColumn="1" w:lastColumn="0" w:noHBand="0" w:noVBand="1"/>
      </w:tblPr>
      <w:tblGrid>
        <w:gridCol w:w="1975"/>
        <w:gridCol w:w="1530"/>
        <w:gridCol w:w="1620"/>
        <w:gridCol w:w="1980"/>
        <w:gridCol w:w="1260"/>
        <w:gridCol w:w="1350"/>
      </w:tblGrid>
      <w:tr w:rsidR="00093808" w:rsidRPr="00E00F83" w14:paraId="358B587D" w14:textId="77777777" w:rsidTr="00A55825">
        <w:trPr>
          <w:cnfStyle w:val="100000000000" w:firstRow="1" w:lastRow="0" w:firstColumn="0" w:lastColumn="0" w:oddVBand="0" w:evenVBand="0" w:oddHBand="0" w:evenHBand="0" w:firstRowFirstColumn="0" w:firstRowLastColumn="0" w:lastRowFirstColumn="0" w:lastRowLastColumn="0"/>
          <w:cantSplit/>
          <w:trHeight w:val="755"/>
          <w:tblHeader/>
        </w:trPr>
        <w:tc>
          <w:tcPr>
            <w:cnfStyle w:val="001000000000" w:firstRow="0" w:lastRow="0" w:firstColumn="1" w:lastColumn="0" w:oddVBand="0" w:evenVBand="0" w:oddHBand="0" w:evenHBand="0" w:firstRowFirstColumn="0" w:firstRowLastColumn="0" w:lastRowFirstColumn="0" w:lastRowLastColumn="0"/>
            <w:tcW w:w="0" w:type="dxa"/>
            <w:hideMark/>
          </w:tcPr>
          <w:p w14:paraId="400890A9" w14:textId="77777777" w:rsidR="00093808" w:rsidRPr="00E00F83" w:rsidRDefault="00093808" w:rsidP="00E00F83">
            <w:pPr>
              <w:widowControl/>
              <w:autoSpaceDE/>
              <w:autoSpaceDN/>
              <w:rPr>
                <w:rFonts w:eastAsia="Times New Roman"/>
              </w:rPr>
            </w:pPr>
            <w:r w:rsidRPr="00E00F83">
              <w:rPr>
                <w:rFonts w:eastAsia="Times New Roman"/>
              </w:rPr>
              <w:t>End Use</w:t>
            </w:r>
          </w:p>
        </w:tc>
        <w:tc>
          <w:tcPr>
            <w:tcW w:w="0" w:type="dxa"/>
            <w:hideMark/>
          </w:tcPr>
          <w:p w14:paraId="23A27C7C" w14:textId="39664B19" w:rsidR="00093808" w:rsidRPr="00E00F83" w:rsidRDefault="00093808" w:rsidP="00E00F83">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rPr>
            </w:pPr>
            <w:r w:rsidRPr="00E00F83">
              <w:rPr>
                <w:rFonts w:eastAsia="Times New Roman"/>
              </w:rPr>
              <w:t>Planning Are</w:t>
            </w:r>
            <w:r>
              <w:rPr>
                <w:rFonts w:eastAsia="Times New Roman"/>
              </w:rPr>
              <w:t>a</w:t>
            </w:r>
          </w:p>
        </w:tc>
        <w:tc>
          <w:tcPr>
            <w:tcW w:w="0" w:type="dxa"/>
            <w:hideMark/>
          </w:tcPr>
          <w:p w14:paraId="2B8E79C3" w14:textId="77777777" w:rsidR="00093808" w:rsidRPr="00E00F83" w:rsidRDefault="00093808" w:rsidP="00E00F83">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rPr>
            </w:pPr>
            <w:r w:rsidRPr="00E00F83">
              <w:rPr>
                <w:rFonts w:eastAsia="Times New Roman"/>
              </w:rPr>
              <w:t>Sector</w:t>
            </w:r>
          </w:p>
        </w:tc>
        <w:tc>
          <w:tcPr>
            <w:tcW w:w="0" w:type="dxa"/>
            <w:hideMark/>
          </w:tcPr>
          <w:p w14:paraId="13E20A14" w14:textId="77777777" w:rsidR="00093808" w:rsidRPr="00E00F83" w:rsidRDefault="00093808" w:rsidP="00E00F83">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rPr>
            </w:pPr>
            <w:r w:rsidRPr="00E00F83">
              <w:rPr>
                <w:rFonts w:eastAsia="Times New Roman"/>
              </w:rPr>
              <w:t>Percent Floorspace with End Use</w:t>
            </w:r>
          </w:p>
        </w:tc>
        <w:tc>
          <w:tcPr>
            <w:tcW w:w="0" w:type="dxa"/>
            <w:hideMark/>
          </w:tcPr>
          <w:p w14:paraId="61A96BBE" w14:textId="77777777" w:rsidR="00093808" w:rsidRPr="00E00F83" w:rsidRDefault="00093808" w:rsidP="00E00F83">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rPr>
            </w:pPr>
            <w:r w:rsidRPr="00E00F83">
              <w:rPr>
                <w:rFonts w:eastAsia="Times New Roman"/>
              </w:rPr>
              <w:t>Gas Fuel Share</w:t>
            </w:r>
          </w:p>
        </w:tc>
        <w:tc>
          <w:tcPr>
            <w:tcW w:w="0" w:type="dxa"/>
            <w:hideMark/>
          </w:tcPr>
          <w:p w14:paraId="3B9746FE" w14:textId="77777777" w:rsidR="00093808" w:rsidRPr="00E00F83" w:rsidRDefault="00093808" w:rsidP="00E00F83">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rPr>
            </w:pPr>
            <w:r w:rsidRPr="00E00F83">
              <w:rPr>
                <w:rFonts w:eastAsia="Times New Roman"/>
              </w:rPr>
              <w:t>Saturations (Gas)</w:t>
            </w:r>
          </w:p>
        </w:tc>
      </w:tr>
      <w:tr w:rsidR="00093808" w:rsidRPr="00E00F83" w14:paraId="695DBB8C"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DCE8190"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364D361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B212D2E"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All Commercial</w:t>
            </w:r>
          </w:p>
        </w:tc>
        <w:tc>
          <w:tcPr>
            <w:tcW w:w="1980" w:type="dxa"/>
            <w:noWrap/>
            <w:hideMark/>
          </w:tcPr>
          <w:p w14:paraId="52CF1E3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w:t>
            </w:r>
          </w:p>
        </w:tc>
        <w:tc>
          <w:tcPr>
            <w:tcW w:w="1260" w:type="dxa"/>
            <w:noWrap/>
            <w:hideMark/>
          </w:tcPr>
          <w:p w14:paraId="6EC7226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69%</w:t>
            </w:r>
          </w:p>
        </w:tc>
        <w:tc>
          <w:tcPr>
            <w:tcW w:w="1350" w:type="dxa"/>
            <w:noWrap/>
            <w:hideMark/>
          </w:tcPr>
          <w:p w14:paraId="687EF3D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2%</w:t>
            </w:r>
          </w:p>
        </w:tc>
      </w:tr>
      <w:tr w:rsidR="00093808" w:rsidRPr="00E00F83" w14:paraId="52E67FF4"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BF0E365"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735064F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E3F532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All Commercial</w:t>
            </w:r>
          </w:p>
        </w:tc>
        <w:tc>
          <w:tcPr>
            <w:tcW w:w="1980" w:type="dxa"/>
            <w:noWrap/>
            <w:hideMark/>
          </w:tcPr>
          <w:p w14:paraId="0E666BDF"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96%</w:t>
            </w:r>
          </w:p>
        </w:tc>
        <w:tc>
          <w:tcPr>
            <w:tcW w:w="1260" w:type="dxa"/>
            <w:noWrap/>
            <w:hideMark/>
          </w:tcPr>
          <w:p w14:paraId="0A44F60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c>
          <w:tcPr>
            <w:tcW w:w="1350" w:type="dxa"/>
            <w:noWrap/>
            <w:hideMark/>
          </w:tcPr>
          <w:p w14:paraId="129E030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04372A6A"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FC782C3"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53F06BD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9664B2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All Commercial</w:t>
            </w:r>
          </w:p>
        </w:tc>
        <w:tc>
          <w:tcPr>
            <w:tcW w:w="1980" w:type="dxa"/>
            <w:noWrap/>
            <w:hideMark/>
          </w:tcPr>
          <w:p w14:paraId="745E29E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76%</w:t>
            </w:r>
          </w:p>
        </w:tc>
        <w:tc>
          <w:tcPr>
            <w:tcW w:w="1260" w:type="dxa"/>
            <w:noWrap/>
            <w:hideMark/>
          </w:tcPr>
          <w:p w14:paraId="5B79693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69%</w:t>
            </w:r>
          </w:p>
        </w:tc>
        <w:tc>
          <w:tcPr>
            <w:tcW w:w="1350" w:type="dxa"/>
            <w:noWrap/>
            <w:hideMark/>
          </w:tcPr>
          <w:p w14:paraId="5BC7348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53%</w:t>
            </w:r>
          </w:p>
        </w:tc>
      </w:tr>
      <w:tr w:rsidR="00093808" w:rsidRPr="00E00F83" w14:paraId="1BB9D41E"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362D24A"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112A3A0D"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1C01BE0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All Commercial</w:t>
            </w:r>
          </w:p>
        </w:tc>
        <w:tc>
          <w:tcPr>
            <w:tcW w:w="1980" w:type="dxa"/>
            <w:noWrap/>
            <w:hideMark/>
          </w:tcPr>
          <w:p w14:paraId="09E4841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95%</w:t>
            </w:r>
          </w:p>
        </w:tc>
        <w:tc>
          <w:tcPr>
            <w:tcW w:w="1260" w:type="dxa"/>
            <w:noWrap/>
            <w:hideMark/>
          </w:tcPr>
          <w:p w14:paraId="1EAD176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58%</w:t>
            </w:r>
          </w:p>
        </w:tc>
        <w:tc>
          <w:tcPr>
            <w:tcW w:w="1350" w:type="dxa"/>
            <w:noWrap/>
            <w:hideMark/>
          </w:tcPr>
          <w:p w14:paraId="71671C6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55%</w:t>
            </w:r>
          </w:p>
        </w:tc>
      </w:tr>
      <w:tr w:rsidR="00093808" w:rsidRPr="00E00F83" w14:paraId="3CF012A0"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30B52FF"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247BE12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F79207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College</w:t>
            </w:r>
          </w:p>
        </w:tc>
        <w:tc>
          <w:tcPr>
            <w:tcW w:w="1980" w:type="dxa"/>
            <w:noWrap/>
            <w:hideMark/>
          </w:tcPr>
          <w:p w14:paraId="24DFF8E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c>
          <w:tcPr>
            <w:tcW w:w="1260" w:type="dxa"/>
            <w:noWrap/>
            <w:hideMark/>
          </w:tcPr>
          <w:p w14:paraId="3F5DB20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74%</w:t>
            </w:r>
          </w:p>
        </w:tc>
        <w:tc>
          <w:tcPr>
            <w:tcW w:w="1350" w:type="dxa"/>
            <w:noWrap/>
            <w:hideMark/>
          </w:tcPr>
          <w:p w14:paraId="0883A22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68AE0037"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1074BE8"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6FF7DD9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12FBFF2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College</w:t>
            </w:r>
          </w:p>
        </w:tc>
        <w:tc>
          <w:tcPr>
            <w:tcW w:w="1980" w:type="dxa"/>
            <w:noWrap/>
            <w:hideMark/>
          </w:tcPr>
          <w:p w14:paraId="6878888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89%</w:t>
            </w:r>
          </w:p>
        </w:tc>
        <w:tc>
          <w:tcPr>
            <w:tcW w:w="1260" w:type="dxa"/>
            <w:noWrap/>
            <w:hideMark/>
          </w:tcPr>
          <w:p w14:paraId="731BA66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c>
          <w:tcPr>
            <w:tcW w:w="1350" w:type="dxa"/>
            <w:noWrap/>
            <w:hideMark/>
          </w:tcPr>
          <w:p w14:paraId="06CC5A3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018EC72E"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64B3111"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3DA65961"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1BFAFF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College</w:t>
            </w:r>
          </w:p>
        </w:tc>
        <w:tc>
          <w:tcPr>
            <w:tcW w:w="1980" w:type="dxa"/>
            <w:noWrap/>
            <w:hideMark/>
          </w:tcPr>
          <w:p w14:paraId="21CF36E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98%</w:t>
            </w:r>
          </w:p>
        </w:tc>
        <w:tc>
          <w:tcPr>
            <w:tcW w:w="1260" w:type="dxa"/>
            <w:noWrap/>
            <w:hideMark/>
          </w:tcPr>
          <w:p w14:paraId="257A2C6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86%</w:t>
            </w:r>
          </w:p>
        </w:tc>
        <w:tc>
          <w:tcPr>
            <w:tcW w:w="1350" w:type="dxa"/>
            <w:noWrap/>
            <w:hideMark/>
          </w:tcPr>
          <w:p w14:paraId="5B059E1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85%</w:t>
            </w:r>
          </w:p>
        </w:tc>
      </w:tr>
      <w:tr w:rsidR="00093808" w:rsidRPr="00E00F83" w14:paraId="313463A3"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D7BD5A0"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72BF318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2BDB8AD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College</w:t>
            </w:r>
          </w:p>
        </w:tc>
        <w:tc>
          <w:tcPr>
            <w:tcW w:w="1980" w:type="dxa"/>
            <w:noWrap/>
            <w:hideMark/>
          </w:tcPr>
          <w:p w14:paraId="2069432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98%</w:t>
            </w:r>
          </w:p>
        </w:tc>
        <w:tc>
          <w:tcPr>
            <w:tcW w:w="1260" w:type="dxa"/>
            <w:noWrap/>
            <w:hideMark/>
          </w:tcPr>
          <w:p w14:paraId="0140FC3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77%</w:t>
            </w:r>
          </w:p>
        </w:tc>
        <w:tc>
          <w:tcPr>
            <w:tcW w:w="1350" w:type="dxa"/>
            <w:noWrap/>
            <w:hideMark/>
          </w:tcPr>
          <w:p w14:paraId="3519934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75%</w:t>
            </w:r>
          </w:p>
        </w:tc>
      </w:tr>
      <w:tr w:rsidR="00093808" w:rsidRPr="00E00F83" w14:paraId="702AA961"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1DF3CD1"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2C2D02E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55D4C8A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Food Stores</w:t>
            </w:r>
          </w:p>
        </w:tc>
        <w:tc>
          <w:tcPr>
            <w:tcW w:w="1980" w:type="dxa"/>
            <w:noWrap/>
            <w:hideMark/>
          </w:tcPr>
          <w:p w14:paraId="5F21C69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w:t>
            </w:r>
          </w:p>
        </w:tc>
        <w:tc>
          <w:tcPr>
            <w:tcW w:w="1260" w:type="dxa"/>
            <w:noWrap/>
            <w:hideMark/>
          </w:tcPr>
          <w:p w14:paraId="2DCC839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68%</w:t>
            </w:r>
          </w:p>
        </w:tc>
        <w:tc>
          <w:tcPr>
            <w:tcW w:w="1350" w:type="dxa"/>
            <w:noWrap/>
            <w:hideMark/>
          </w:tcPr>
          <w:p w14:paraId="19E137E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3%</w:t>
            </w:r>
          </w:p>
        </w:tc>
      </w:tr>
      <w:tr w:rsidR="00093808" w:rsidRPr="00E00F83" w14:paraId="21DF252C"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FB0CFDF"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2D236B9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2E24D1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Food Stores</w:t>
            </w:r>
          </w:p>
        </w:tc>
        <w:tc>
          <w:tcPr>
            <w:tcW w:w="1980" w:type="dxa"/>
            <w:noWrap/>
            <w:hideMark/>
          </w:tcPr>
          <w:p w14:paraId="7EB3C2F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514B819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c>
          <w:tcPr>
            <w:tcW w:w="1350" w:type="dxa"/>
            <w:noWrap/>
            <w:hideMark/>
          </w:tcPr>
          <w:p w14:paraId="58B7E528"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2357DDAC"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8A1C335"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40CA80E6"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3BFDDA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Food Stores</w:t>
            </w:r>
          </w:p>
        </w:tc>
        <w:tc>
          <w:tcPr>
            <w:tcW w:w="1980" w:type="dxa"/>
            <w:noWrap/>
            <w:hideMark/>
          </w:tcPr>
          <w:p w14:paraId="62A84C2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81%</w:t>
            </w:r>
          </w:p>
        </w:tc>
        <w:tc>
          <w:tcPr>
            <w:tcW w:w="1260" w:type="dxa"/>
            <w:noWrap/>
            <w:hideMark/>
          </w:tcPr>
          <w:p w14:paraId="6D7E5C3E"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63%</w:t>
            </w:r>
          </w:p>
        </w:tc>
        <w:tc>
          <w:tcPr>
            <w:tcW w:w="1350" w:type="dxa"/>
            <w:noWrap/>
            <w:hideMark/>
          </w:tcPr>
          <w:p w14:paraId="23A59BD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51%</w:t>
            </w:r>
          </w:p>
        </w:tc>
      </w:tr>
      <w:tr w:rsidR="00093808" w:rsidRPr="00E00F83" w14:paraId="14771539"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CDFD829"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3274A47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FD54D28"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Food Stores</w:t>
            </w:r>
          </w:p>
        </w:tc>
        <w:tc>
          <w:tcPr>
            <w:tcW w:w="1980" w:type="dxa"/>
            <w:noWrap/>
            <w:hideMark/>
          </w:tcPr>
          <w:p w14:paraId="74FDC3A8"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99%</w:t>
            </w:r>
          </w:p>
        </w:tc>
        <w:tc>
          <w:tcPr>
            <w:tcW w:w="1260" w:type="dxa"/>
            <w:noWrap/>
            <w:hideMark/>
          </w:tcPr>
          <w:p w14:paraId="4647F2D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67%</w:t>
            </w:r>
          </w:p>
        </w:tc>
        <w:tc>
          <w:tcPr>
            <w:tcW w:w="1350" w:type="dxa"/>
            <w:noWrap/>
            <w:hideMark/>
          </w:tcPr>
          <w:p w14:paraId="513C618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66%</w:t>
            </w:r>
          </w:p>
        </w:tc>
      </w:tr>
      <w:tr w:rsidR="00093808" w:rsidRPr="00E00F83" w14:paraId="128B9D7A"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775EB9F"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41DD0A4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57E025A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Health Care</w:t>
            </w:r>
          </w:p>
        </w:tc>
        <w:tc>
          <w:tcPr>
            <w:tcW w:w="1980" w:type="dxa"/>
            <w:noWrap/>
            <w:hideMark/>
          </w:tcPr>
          <w:p w14:paraId="4D10512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2%</w:t>
            </w:r>
          </w:p>
        </w:tc>
        <w:tc>
          <w:tcPr>
            <w:tcW w:w="1260" w:type="dxa"/>
            <w:noWrap/>
            <w:hideMark/>
          </w:tcPr>
          <w:p w14:paraId="0607145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72%</w:t>
            </w:r>
          </w:p>
        </w:tc>
        <w:tc>
          <w:tcPr>
            <w:tcW w:w="1350" w:type="dxa"/>
            <w:noWrap/>
            <w:hideMark/>
          </w:tcPr>
          <w:p w14:paraId="58A379F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51661F09"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11251E80" w14:textId="77777777" w:rsidR="00093808" w:rsidRPr="00E00F83" w:rsidRDefault="00093808" w:rsidP="00E00F83">
            <w:pPr>
              <w:widowControl/>
              <w:autoSpaceDE/>
              <w:autoSpaceDN/>
              <w:rPr>
                <w:rFonts w:eastAsia="Times New Roman"/>
              </w:rPr>
            </w:pPr>
            <w:r w:rsidRPr="00E00F83">
              <w:rPr>
                <w:rFonts w:eastAsia="Times New Roman"/>
              </w:rPr>
              <w:lastRenderedPageBreak/>
              <w:t>Cooking, Minor</w:t>
            </w:r>
          </w:p>
        </w:tc>
        <w:tc>
          <w:tcPr>
            <w:tcW w:w="1530" w:type="dxa"/>
            <w:noWrap/>
            <w:hideMark/>
          </w:tcPr>
          <w:p w14:paraId="580FCB6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70FBCD8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Health Care</w:t>
            </w:r>
          </w:p>
        </w:tc>
        <w:tc>
          <w:tcPr>
            <w:tcW w:w="1980" w:type="dxa"/>
            <w:noWrap/>
            <w:hideMark/>
          </w:tcPr>
          <w:p w14:paraId="0709292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057BDCE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c>
          <w:tcPr>
            <w:tcW w:w="1350" w:type="dxa"/>
            <w:noWrap/>
            <w:hideMark/>
          </w:tcPr>
          <w:p w14:paraId="7BD5BAA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r>
      <w:tr w:rsidR="00093808" w:rsidRPr="00E00F83" w14:paraId="13D84418"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5C1870B"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7C66849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3FA702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Health Care</w:t>
            </w:r>
          </w:p>
        </w:tc>
        <w:tc>
          <w:tcPr>
            <w:tcW w:w="1980" w:type="dxa"/>
            <w:noWrap/>
            <w:hideMark/>
          </w:tcPr>
          <w:p w14:paraId="39AD380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99%</w:t>
            </w:r>
          </w:p>
        </w:tc>
        <w:tc>
          <w:tcPr>
            <w:tcW w:w="1260" w:type="dxa"/>
            <w:noWrap/>
            <w:hideMark/>
          </w:tcPr>
          <w:p w14:paraId="454C00D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81%</w:t>
            </w:r>
          </w:p>
        </w:tc>
        <w:tc>
          <w:tcPr>
            <w:tcW w:w="1350" w:type="dxa"/>
            <w:noWrap/>
            <w:hideMark/>
          </w:tcPr>
          <w:p w14:paraId="0FC857A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80%</w:t>
            </w:r>
          </w:p>
        </w:tc>
      </w:tr>
      <w:tr w:rsidR="00093808" w:rsidRPr="00E00F83" w14:paraId="77A5B037"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AB901B1"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5682CD4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7308E3F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Health Care</w:t>
            </w:r>
          </w:p>
        </w:tc>
        <w:tc>
          <w:tcPr>
            <w:tcW w:w="1980" w:type="dxa"/>
            <w:noWrap/>
            <w:hideMark/>
          </w:tcPr>
          <w:p w14:paraId="371D90A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044268E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88%</w:t>
            </w:r>
          </w:p>
        </w:tc>
        <w:tc>
          <w:tcPr>
            <w:tcW w:w="1350" w:type="dxa"/>
            <w:noWrap/>
            <w:hideMark/>
          </w:tcPr>
          <w:p w14:paraId="02BF156D"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88%</w:t>
            </w:r>
          </w:p>
        </w:tc>
      </w:tr>
      <w:tr w:rsidR="00093808" w:rsidRPr="00E00F83" w14:paraId="0490E0D9"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A6621F9"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2B321EE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CD86EC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Lodging</w:t>
            </w:r>
          </w:p>
        </w:tc>
        <w:tc>
          <w:tcPr>
            <w:tcW w:w="1980" w:type="dxa"/>
            <w:noWrap/>
            <w:hideMark/>
          </w:tcPr>
          <w:p w14:paraId="561E2FCA"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c>
          <w:tcPr>
            <w:tcW w:w="1260" w:type="dxa"/>
            <w:noWrap/>
            <w:hideMark/>
          </w:tcPr>
          <w:p w14:paraId="5F1C496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64%</w:t>
            </w:r>
          </w:p>
        </w:tc>
        <w:tc>
          <w:tcPr>
            <w:tcW w:w="1350" w:type="dxa"/>
            <w:noWrap/>
            <w:hideMark/>
          </w:tcPr>
          <w:p w14:paraId="5B37BE6A"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29386148"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50E8D5E"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5A52334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1E8511D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Lodging</w:t>
            </w:r>
          </w:p>
        </w:tc>
        <w:tc>
          <w:tcPr>
            <w:tcW w:w="1980" w:type="dxa"/>
            <w:noWrap/>
            <w:hideMark/>
          </w:tcPr>
          <w:p w14:paraId="720B2F8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322B9C5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c>
          <w:tcPr>
            <w:tcW w:w="1350" w:type="dxa"/>
            <w:noWrap/>
            <w:hideMark/>
          </w:tcPr>
          <w:p w14:paraId="4E18D1E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12AA9991"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2F8D800"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4F8377D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198D55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Lodging</w:t>
            </w:r>
          </w:p>
        </w:tc>
        <w:tc>
          <w:tcPr>
            <w:tcW w:w="1980" w:type="dxa"/>
            <w:noWrap/>
            <w:hideMark/>
          </w:tcPr>
          <w:p w14:paraId="5F3DFFF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99%</w:t>
            </w:r>
          </w:p>
        </w:tc>
        <w:tc>
          <w:tcPr>
            <w:tcW w:w="1260" w:type="dxa"/>
            <w:noWrap/>
            <w:hideMark/>
          </w:tcPr>
          <w:p w14:paraId="6892776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57%</w:t>
            </w:r>
          </w:p>
        </w:tc>
        <w:tc>
          <w:tcPr>
            <w:tcW w:w="1350" w:type="dxa"/>
            <w:noWrap/>
            <w:hideMark/>
          </w:tcPr>
          <w:p w14:paraId="55FAD42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56%</w:t>
            </w:r>
          </w:p>
        </w:tc>
      </w:tr>
      <w:tr w:rsidR="00093808" w:rsidRPr="00E00F83" w14:paraId="0CFD290A"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5D213A3"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5748246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5A8D17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Lodging</w:t>
            </w:r>
          </w:p>
        </w:tc>
        <w:tc>
          <w:tcPr>
            <w:tcW w:w="1980" w:type="dxa"/>
            <w:noWrap/>
            <w:hideMark/>
          </w:tcPr>
          <w:p w14:paraId="3877AFF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62A6A7B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90%</w:t>
            </w:r>
          </w:p>
        </w:tc>
        <w:tc>
          <w:tcPr>
            <w:tcW w:w="1350" w:type="dxa"/>
            <w:noWrap/>
            <w:hideMark/>
          </w:tcPr>
          <w:p w14:paraId="2E7D038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90%</w:t>
            </w:r>
          </w:p>
        </w:tc>
      </w:tr>
      <w:tr w:rsidR="00093808" w:rsidRPr="00E00F83" w14:paraId="09EBD9DF"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71C13B0"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3B2C237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2759BF5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Miscellaneous</w:t>
            </w:r>
          </w:p>
        </w:tc>
        <w:tc>
          <w:tcPr>
            <w:tcW w:w="1980" w:type="dxa"/>
            <w:noWrap/>
            <w:hideMark/>
          </w:tcPr>
          <w:p w14:paraId="390D182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c>
          <w:tcPr>
            <w:tcW w:w="1260" w:type="dxa"/>
            <w:noWrap/>
            <w:hideMark/>
          </w:tcPr>
          <w:p w14:paraId="46659EC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59%</w:t>
            </w:r>
          </w:p>
        </w:tc>
        <w:tc>
          <w:tcPr>
            <w:tcW w:w="1350" w:type="dxa"/>
            <w:noWrap/>
            <w:hideMark/>
          </w:tcPr>
          <w:p w14:paraId="43896B7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6AEBDAD1"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811F13E"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236097F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BB29A4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Miscellaneous</w:t>
            </w:r>
          </w:p>
        </w:tc>
        <w:tc>
          <w:tcPr>
            <w:tcW w:w="1980" w:type="dxa"/>
            <w:noWrap/>
            <w:hideMark/>
          </w:tcPr>
          <w:p w14:paraId="1DD63EF6"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94%</w:t>
            </w:r>
          </w:p>
        </w:tc>
        <w:tc>
          <w:tcPr>
            <w:tcW w:w="1260" w:type="dxa"/>
            <w:noWrap/>
            <w:hideMark/>
          </w:tcPr>
          <w:p w14:paraId="3F3A25A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c>
          <w:tcPr>
            <w:tcW w:w="1350" w:type="dxa"/>
            <w:noWrap/>
            <w:hideMark/>
          </w:tcPr>
          <w:p w14:paraId="34C4548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r>
      <w:tr w:rsidR="00093808" w:rsidRPr="00E00F83" w14:paraId="704E1363"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53675F7"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45587041"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CD73A4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Miscellaneous</w:t>
            </w:r>
          </w:p>
        </w:tc>
        <w:tc>
          <w:tcPr>
            <w:tcW w:w="1980" w:type="dxa"/>
            <w:noWrap/>
            <w:hideMark/>
          </w:tcPr>
          <w:p w14:paraId="17E3159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67%</w:t>
            </w:r>
          </w:p>
        </w:tc>
        <w:tc>
          <w:tcPr>
            <w:tcW w:w="1260" w:type="dxa"/>
            <w:noWrap/>
            <w:hideMark/>
          </w:tcPr>
          <w:p w14:paraId="7DBF7E5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70%</w:t>
            </w:r>
          </w:p>
        </w:tc>
        <w:tc>
          <w:tcPr>
            <w:tcW w:w="1350" w:type="dxa"/>
            <w:noWrap/>
            <w:hideMark/>
          </w:tcPr>
          <w:p w14:paraId="365EDCE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47%</w:t>
            </w:r>
          </w:p>
        </w:tc>
      </w:tr>
      <w:tr w:rsidR="00093808" w:rsidRPr="00E00F83" w14:paraId="45C02768"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E4AAC01"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11B5AA1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149D97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Miscellaneous</w:t>
            </w:r>
          </w:p>
        </w:tc>
        <w:tc>
          <w:tcPr>
            <w:tcW w:w="1980" w:type="dxa"/>
            <w:noWrap/>
            <w:hideMark/>
          </w:tcPr>
          <w:p w14:paraId="09297AA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93%</w:t>
            </w:r>
          </w:p>
        </w:tc>
        <w:tc>
          <w:tcPr>
            <w:tcW w:w="1260" w:type="dxa"/>
            <w:noWrap/>
            <w:hideMark/>
          </w:tcPr>
          <w:p w14:paraId="17536E9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59%</w:t>
            </w:r>
          </w:p>
        </w:tc>
        <w:tc>
          <w:tcPr>
            <w:tcW w:w="1350" w:type="dxa"/>
            <w:noWrap/>
            <w:hideMark/>
          </w:tcPr>
          <w:p w14:paraId="76C6DAAD"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55%</w:t>
            </w:r>
          </w:p>
        </w:tc>
      </w:tr>
      <w:tr w:rsidR="00093808" w:rsidRPr="00E00F83" w14:paraId="21BAADA2"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7B48915"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63FBF5B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540D8C4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Office, Large</w:t>
            </w:r>
          </w:p>
        </w:tc>
        <w:tc>
          <w:tcPr>
            <w:tcW w:w="1980" w:type="dxa"/>
            <w:noWrap/>
            <w:hideMark/>
          </w:tcPr>
          <w:p w14:paraId="26CC294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99%</w:t>
            </w:r>
          </w:p>
        </w:tc>
        <w:tc>
          <w:tcPr>
            <w:tcW w:w="1260" w:type="dxa"/>
            <w:noWrap/>
            <w:hideMark/>
          </w:tcPr>
          <w:p w14:paraId="0157A72A"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c>
          <w:tcPr>
            <w:tcW w:w="1350" w:type="dxa"/>
            <w:noWrap/>
            <w:hideMark/>
          </w:tcPr>
          <w:p w14:paraId="1AB4B61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2E674FE9"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11A3E8F3"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582C59E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880D349"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Office, Large</w:t>
            </w:r>
          </w:p>
        </w:tc>
        <w:tc>
          <w:tcPr>
            <w:tcW w:w="1980" w:type="dxa"/>
            <w:noWrap/>
            <w:hideMark/>
          </w:tcPr>
          <w:p w14:paraId="41365EB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92%</w:t>
            </w:r>
          </w:p>
        </w:tc>
        <w:tc>
          <w:tcPr>
            <w:tcW w:w="1260" w:type="dxa"/>
            <w:noWrap/>
            <w:hideMark/>
          </w:tcPr>
          <w:p w14:paraId="5DDBE84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86%</w:t>
            </w:r>
          </w:p>
        </w:tc>
        <w:tc>
          <w:tcPr>
            <w:tcW w:w="1350" w:type="dxa"/>
            <w:noWrap/>
            <w:hideMark/>
          </w:tcPr>
          <w:p w14:paraId="586B7B5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78%</w:t>
            </w:r>
          </w:p>
        </w:tc>
      </w:tr>
      <w:tr w:rsidR="00093808" w:rsidRPr="00E00F83" w14:paraId="3B408B0B"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C7163ED"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3513637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3DBF3C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Office, Large</w:t>
            </w:r>
          </w:p>
        </w:tc>
        <w:tc>
          <w:tcPr>
            <w:tcW w:w="1980" w:type="dxa"/>
            <w:noWrap/>
            <w:hideMark/>
          </w:tcPr>
          <w:p w14:paraId="6823AC1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3B8E2BA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62%</w:t>
            </w:r>
          </w:p>
        </w:tc>
        <w:tc>
          <w:tcPr>
            <w:tcW w:w="1350" w:type="dxa"/>
            <w:noWrap/>
            <w:hideMark/>
          </w:tcPr>
          <w:p w14:paraId="582C6C3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62%</w:t>
            </w:r>
          </w:p>
        </w:tc>
      </w:tr>
      <w:tr w:rsidR="00093808" w:rsidRPr="00E00F83" w14:paraId="3682002A"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622F1A6"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759D402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2CB3D42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Office, Small</w:t>
            </w:r>
          </w:p>
        </w:tc>
        <w:tc>
          <w:tcPr>
            <w:tcW w:w="1980" w:type="dxa"/>
            <w:noWrap/>
            <w:hideMark/>
          </w:tcPr>
          <w:p w14:paraId="09DE422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95%</w:t>
            </w:r>
          </w:p>
        </w:tc>
        <w:tc>
          <w:tcPr>
            <w:tcW w:w="1260" w:type="dxa"/>
            <w:noWrap/>
            <w:hideMark/>
          </w:tcPr>
          <w:p w14:paraId="2E9D4456"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c>
          <w:tcPr>
            <w:tcW w:w="1350" w:type="dxa"/>
            <w:noWrap/>
            <w:hideMark/>
          </w:tcPr>
          <w:p w14:paraId="6253737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w:t>
            </w:r>
          </w:p>
        </w:tc>
      </w:tr>
      <w:tr w:rsidR="00093808" w:rsidRPr="00E00F83" w14:paraId="6F652817"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44D13DD"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0BFFDF81"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722DFFA6"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Office, Small</w:t>
            </w:r>
          </w:p>
        </w:tc>
        <w:tc>
          <w:tcPr>
            <w:tcW w:w="1980" w:type="dxa"/>
            <w:noWrap/>
            <w:hideMark/>
          </w:tcPr>
          <w:p w14:paraId="69B56E7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91%</w:t>
            </w:r>
          </w:p>
        </w:tc>
        <w:tc>
          <w:tcPr>
            <w:tcW w:w="1260" w:type="dxa"/>
            <w:noWrap/>
            <w:hideMark/>
          </w:tcPr>
          <w:p w14:paraId="705B286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56%</w:t>
            </w:r>
          </w:p>
        </w:tc>
        <w:tc>
          <w:tcPr>
            <w:tcW w:w="1350" w:type="dxa"/>
            <w:noWrap/>
            <w:hideMark/>
          </w:tcPr>
          <w:p w14:paraId="74294C6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51%</w:t>
            </w:r>
          </w:p>
        </w:tc>
      </w:tr>
      <w:tr w:rsidR="00093808" w:rsidRPr="00E00F83" w14:paraId="210FE45E"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16BFF35E"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5CE81E1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FD8048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Office, Small</w:t>
            </w:r>
          </w:p>
        </w:tc>
        <w:tc>
          <w:tcPr>
            <w:tcW w:w="1980" w:type="dxa"/>
            <w:noWrap/>
            <w:hideMark/>
          </w:tcPr>
          <w:p w14:paraId="2D322ED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93%</w:t>
            </w:r>
          </w:p>
        </w:tc>
        <w:tc>
          <w:tcPr>
            <w:tcW w:w="1260" w:type="dxa"/>
            <w:noWrap/>
            <w:hideMark/>
          </w:tcPr>
          <w:p w14:paraId="793AF338"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49%</w:t>
            </w:r>
          </w:p>
        </w:tc>
        <w:tc>
          <w:tcPr>
            <w:tcW w:w="1350" w:type="dxa"/>
            <w:noWrap/>
            <w:hideMark/>
          </w:tcPr>
          <w:p w14:paraId="6591AFBD"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46%</w:t>
            </w:r>
          </w:p>
        </w:tc>
      </w:tr>
      <w:tr w:rsidR="00093808" w:rsidRPr="00E00F83" w14:paraId="75149070"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9B8A38A"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3B66EA9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76421CE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Ref. Warehouse</w:t>
            </w:r>
          </w:p>
        </w:tc>
        <w:tc>
          <w:tcPr>
            <w:tcW w:w="1980" w:type="dxa"/>
            <w:noWrap/>
            <w:hideMark/>
          </w:tcPr>
          <w:p w14:paraId="615CEF9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18%</w:t>
            </w:r>
          </w:p>
        </w:tc>
        <w:tc>
          <w:tcPr>
            <w:tcW w:w="1260" w:type="dxa"/>
            <w:noWrap/>
            <w:hideMark/>
          </w:tcPr>
          <w:p w14:paraId="45613E5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23%</w:t>
            </w:r>
          </w:p>
        </w:tc>
        <w:tc>
          <w:tcPr>
            <w:tcW w:w="1350" w:type="dxa"/>
            <w:noWrap/>
            <w:hideMark/>
          </w:tcPr>
          <w:p w14:paraId="3EA257F1"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w:t>
            </w:r>
          </w:p>
        </w:tc>
      </w:tr>
      <w:tr w:rsidR="00093808" w:rsidRPr="00E00F83" w14:paraId="6ACE1C03"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0F61B5D"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6C84903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49E1248"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Ref. Warehouse</w:t>
            </w:r>
          </w:p>
        </w:tc>
        <w:tc>
          <w:tcPr>
            <w:tcW w:w="1980" w:type="dxa"/>
            <w:noWrap/>
            <w:hideMark/>
          </w:tcPr>
          <w:p w14:paraId="2F302EE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96%</w:t>
            </w:r>
          </w:p>
        </w:tc>
        <w:tc>
          <w:tcPr>
            <w:tcW w:w="1260" w:type="dxa"/>
            <w:noWrap/>
            <w:hideMark/>
          </w:tcPr>
          <w:p w14:paraId="6683DFC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32%</w:t>
            </w:r>
          </w:p>
        </w:tc>
        <w:tc>
          <w:tcPr>
            <w:tcW w:w="1350" w:type="dxa"/>
            <w:noWrap/>
            <w:hideMark/>
          </w:tcPr>
          <w:p w14:paraId="6C2BE3C6"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31%</w:t>
            </w:r>
          </w:p>
        </w:tc>
      </w:tr>
      <w:tr w:rsidR="00093808" w:rsidRPr="00E00F83" w14:paraId="0286A950"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0158D50"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55DAF10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B5D97E0"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Restaurant</w:t>
            </w:r>
          </w:p>
        </w:tc>
        <w:tc>
          <w:tcPr>
            <w:tcW w:w="1980" w:type="dxa"/>
            <w:noWrap/>
            <w:hideMark/>
          </w:tcPr>
          <w:p w14:paraId="609836E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4A801809"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71%</w:t>
            </w:r>
          </w:p>
        </w:tc>
        <w:tc>
          <w:tcPr>
            <w:tcW w:w="1350" w:type="dxa"/>
            <w:noWrap/>
            <w:hideMark/>
          </w:tcPr>
          <w:p w14:paraId="2F26E75D"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71%</w:t>
            </w:r>
          </w:p>
        </w:tc>
      </w:tr>
      <w:tr w:rsidR="00093808" w:rsidRPr="00E00F83" w14:paraId="545548ED"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31A2354"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1CCA090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DC88B1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Restaurant</w:t>
            </w:r>
          </w:p>
        </w:tc>
        <w:tc>
          <w:tcPr>
            <w:tcW w:w="1980" w:type="dxa"/>
            <w:noWrap/>
            <w:hideMark/>
          </w:tcPr>
          <w:p w14:paraId="618D66E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08B1421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c>
          <w:tcPr>
            <w:tcW w:w="1350" w:type="dxa"/>
            <w:noWrap/>
            <w:hideMark/>
          </w:tcPr>
          <w:p w14:paraId="134189EF"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w:t>
            </w:r>
          </w:p>
        </w:tc>
      </w:tr>
      <w:tr w:rsidR="00093808" w:rsidRPr="00E00F83" w14:paraId="1ABF931C"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6DB814A"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0DFBE1E2"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1315411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Restaurant</w:t>
            </w:r>
          </w:p>
        </w:tc>
        <w:tc>
          <w:tcPr>
            <w:tcW w:w="1980" w:type="dxa"/>
            <w:noWrap/>
            <w:hideMark/>
          </w:tcPr>
          <w:p w14:paraId="316EECB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90%</w:t>
            </w:r>
          </w:p>
        </w:tc>
        <w:tc>
          <w:tcPr>
            <w:tcW w:w="1260" w:type="dxa"/>
            <w:noWrap/>
            <w:hideMark/>
          </w:tcPr>
          <w:p w14:paraId="077C0EC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65%</w:t>
            </w:r>
          </w:p>
        </w:tc>
        <w:tc>
          <w:tcPr>
            <w:tcW w:w="1350" w:type="dxa"/>
            <w:noWrap/>
            <w:hideMark/>
          </w:tcPr>
          <w:p w14:paraId="3D4EFFFE"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58%</w:t>
            </w:r>
          </w:p>
        </w:tc>
      </w:tr>
      <w:tr w:rsidR="00093808" w:rsidRPr="00E00F83" w14:paraId="5098BDA2"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27B58DC"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110CD8E6"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4E9B56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Restaurant</w:t>
            </w:r>
          </w:p>
        </w:tc>
        <w:tc>
          <w:tcPr>
            <w:tcW w:w="1980" w:type="dxa"/>
            <w:noWrap/>
            <w:hideMark/>
          </w:tcPr>
          <w:p w14:paraId="04E07BE6"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32FDCD5E"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79%</w:t>
            </w:r>
          </w:p>
        </w:tc>
        <w:tc>
          <w:tcPr>
            <w:tcW w:w="1350" w:type="dxa"/>
            <w:noWrap/>
            <w:hideMark/>
          </w:tcPr>
          <w:p w14:paraId="4DBC6C6F"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79%</w:t>
            </w:r>
          </w:p>
        </w:tc>
      </w:tr>
      <w:tr w:rsidR="00093808" w:rsidRPr="00E00F83" w14:paraId="4DC48E3D"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EAFCB7E"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091E59D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C6A8338"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Retail</w:t>
            </w:r>
          </w:p>
        </w:tc>
        <w:tc>
          <w:tcPr>
            <w:tcW w:w="1980" w:type="dxa"/>
            <w:noWrap/>
            <w:hideMark/>
          </w:tcPr>
          <w:p w14:paraId="4D38F8E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79%</w:t>
            </w:r>
          </w:p>
        </w:tc>
        <w:tc>
          <w:tcPr>
            <w:tcW w:w="1260" w:type="dxa"/>
            <w:noWrap/>
            <w:hideMark/>
          </w:tcPr>
          <w:p w14:paraId="1DB2600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58%</w:t>
            </w:r>
          </w:p>
        </w:tc>
        <w:tc>
          <w:tcPr>
            <w:tcW w:w="1350" w:type="dxa"/>
            <w:noWrap/>
            <w:hideMark/>
          </w:tcPr>
          <w:p w14:paraId="5F1BEF9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46%</w:t>
            </w:r>
          </w:p>
        </w:tc>
      </w:tr>
      <w:tr w:rsidR="00093808" w:rsidRPr="00E00F83" w14:paraId="212999F0"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8918E15"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53047FE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EAB138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Retail</w:t>
            </w:r>
          </w:p>
        </w:tc>
        <w:tc>
          <w:tcPr>
            <w:tcW w:w="1980" w:type="dxa"/>
            <w:noWrap/>
            <w:hideMark/>
          </w:tcPr>
          <w:p w14:paraId="34185F9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89%</w:t>
            </w:r>
          </w:p>
        </w:tc>
        <w:tc>
          <w:tcPr>
            <w:tcW w:w="1260" w:type="dxa"/>
            <w:noWrap/>
            <w:hideMark/>
          </w:tcPr>
          <w:p w14:paraId="2617ACA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41%</w:t>
            </w:r>
          </w:p>
        </w:tc>
        <w:tc>
          <w:tcPr>
            <w:tcW w:w="1350" w:type="dxa"/>
            <w:noWrap/>
            <w:hideMark/>
          </w:tcPr>
          <w:p w14:paraId="7546334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36%</w:t>
            </w:r>
          </w:p>
        </w:tc>
      </w:tr>
      <w:tr w:rsidR="00093808" w:rsidRPr="00E00F83" w14:paraId="40B36A5A"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40344C2" w14:textId="77777777" w:rsidR="00093808" w:rsidRPr="00E00F83" w:rsidRDefault="00093808" w:rsidP="00E00F83">
            <w:pPr>
              <w:widowControl/>
              <w:autoSpaceDE/>
              <w:autoSpaceDN/>
              <w:rPr>
                <w:rFonts w:eastAsia="Times New Roman"/>
              </w:rPr>
            </w:pPr>
            <w:r w:rsidRPr="00E00F83">
              <w:rPr>
                <w:rFonts w:eastAsia="Times New Roman"/>
              </w:rPr>
              <w:t>Cooking, Major</w:t>
            </w:r>
          </w:p>
        </w:tc>
        <w:tc>
          <w:tcPr>
            <w:tcW w:w="1530" w:type="dxa"/>
            <w:noWrap/>
            <w:hideMark/>
          </w:tcPr>
          <w:p w14:paraId="1C71A5A3"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4EEC2BEA"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School</w:t>
            </w:r>
          </w:p>
        </w:tc>
        <w:tc>
          <w:tcPr>
            <w:tcW w:w="1980" w:type="dxa"/>
            <w:noWrap/>
            <w:hideMark/>
          </w:tcPr>
          <w:p w14:paraId="555D97B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4%</w:t>
            </w:r>
          </w:p>
        </w:tc>
        <w:tc>
          <w:tcPr>
            <w:tcW w:w="1260" w:type="dxa"/>
            <w:noWrap/>
            <w:hideMark/>
          </w:tcPr>
          <w:p w14:paraId="0291E39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61%</w:t>
            </w:r>
          </w:p>
        </w:tc>
        <w:tc>
          <w:tcPr>
            <w:tcW w:w="1350" w:type="dxa"/>
            <w:noWrap/>
            <w:hideMark/>
          </w:tcPr>
          <w:p w14:paraId="31D48307"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2%</w:t>
            </w:r>
          </w:p>
        </w:tc>
      </w:tr>
      <w:tr w:rsidR="00093808" w:rsidRPr="00E00F83" w14:paraId="0FAF9166"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E03E220" w14:textId="77777777" w:rsidR="00093808" w:rsidRPr="00E00F83" w:rsidRDefault="00093808" w:rsidP="00E00F83">
            <w:pPr>
              <w:widowControl/>
              <w:autoSpaceDE/>
              <w:autoSpaceDN/>
              <w:rPr>
                <w:rFonts w:eastAsia="Times New Roman"/>
              </w:rPr>
            </w:pPr>
            <w:r w:rsidRPr="00E00F83">
              <w:rPr>
                <w:rFonts w:eastAsia="Times New Roman"/>
              </w:rPr>
              <w:t>Cooking, Minor</w:t>
            </w:r>
          </w:p>
        </w:tc>
        <w:tc>
          <w:tcPr>
            <w:tcW w:w="1530" w:type="dxa"/>
            <w:noWrap/>
            <w:hideMark/>
          </w:tcPr>
          <w:p w14:paraId="3606C0E3"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C22A772"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School</w:t>
            </w:r>
          </w:p>
        </w:tc>
        <w:tc>
          <w:tcPr>
            <w:tcW w:w="1980" w:type="dxa"/>
            <w:noWrap/>
            <w:hideMark/>
          </w:tcPr>
          <w:p w14:paraId="187E983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4BA2E4C7"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4%</w:t>
            </w:r>
          </w:p>
        </w:tc>
        <w:tc>
          <w:tcPr>
            <w:tcW w:w="1350" w:type="dxa"/>
            <w:noWrap/>
            <w:hideMark/>
          </w:tcPr>
          <w:p w14:paraId="432F7BDC"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4%</w:t>
            </w:r>
          </w:p>
        </w:tc>
      </w:tr>
      <w:tr w:rsidR="00093808" w:rsidRPr="00E00F83" w14:paraId="0029DF56"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D69ADCD"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3A3D70B5"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219A46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School</w:t>
            </w:r>
          </w:p>
        </w:tc>
        <w:tc>
          <w:tcPr>
            <w:tcW w:w="1980" w:type="dxa"/>
            <w:noWrap/>
            <w:hideMark/>
          </w:tcPr>
          <w:p w14:paraId="0CC5A6D1"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98%</w:t>
            </w:r>
          </w:p>
        </w:tc>
        <w:tc>
          <w:tcPr>
            <w:tcW w:w="1260" w:type="dxa"/>
            <w:noWrap/>
            <w:hideMark/>
          </w:tcPr>
          <w:p w14:paraId="159D62C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74%</w:t>
            </w:r>
          </w:p>
        </w:tc>
        <w:tc>
          <w:tcPr>
            <w:tcW w:w="1350" w:type="dxa"/>
            <w:noWrap/>
            <w:hideMark/>
          </w:tcPr>
          <w:p w14:paraId="51E2AD9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73%</w:t>
            </w:r>
          </w:p>
        </w:tc>
      </w:tr>
      <w:tr w:rsidR="00093808" w:rsidRPr="00E00F83" w14:paraId="66C67A46"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1698E2D"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29804D6F"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3A277191"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School</w:t>
            </w:r>
          </w:p>
        </w:tc>
        <w:tc>
          <w:tcPr>
            <w:tcW w:w="1980" w:type="dxa"/>
            <w:noWrap/>
            <w:hideMark/>
          </w:tcPr>
          <w:p w14:paraId="163CA42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100%</w:t>
            </w:r>
          </w:p>
        </w:tc>
        <w:tc>
          <w:tcPr>
            <w:tcW w:w="1260" w:type="dxa"/>
            <w:noWrap/>
            <w:hideMark/>
          </w:tcPr>
          <w:p w14:paraId="2F71B21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72%</w:t>
            </w:r>
          </w:p>
        </w:tc>
        <w:tc>
          <w:tcPr>
            <w:tcW w:w="1350" w:type="dxa"/>
            <w:noWrap/>
            <w:hideMark/>
          </w:tcPr>
          <w:p w14:paraId="37CA4BB0"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72%</w:t>
            </w:r>
          </w:p>
        </w:tc>
      </w:tr>
      <w:tr w:rsidR="00093808" w:rsidRPr="00E00F83" w14:paraId="27370132" w14:textId="77777777" w:rsidTr="009C4B5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74DB960" w14:textId="77777777" w:rsidR="00093808" w:rsidRPr="00E00F83" w:rsidRDefault="00093808" w:rsidP="00E00F83">
            <w:pPr>
              <w:widowControl/>
              <w:autoSpaceDE/>
              <w:autoSpaceDN/>
              <w:rPr>
                <w:rFonts w:eastAsia="Times New Roman"/>
              </w:rPr>
            </w:pPr>
            <w:r w:rsidRPr="00E00F83">
              <w:rPr>
                <w:rFonts w:eastAsia="Times New Roman"/>
              </w:rPr>
              <w:t>Heating</w:t>
            </w:r>
          </w:p>
        </w:tc>
        <w:tc>
          <w:tcPr>
            <w:tcW w:w="1530" w:type="dxa"/>
            <w:noWrap/>
            <w:hideMark/>
          </w:tcPr>
          <w:p w14:paraId="2BCD91EF"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0864538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Warehouse</w:t>
            </w:r>
          </w:p>
        </w:tc>
        <w:tc>
          <w:tcPr>
            <w:tcW w:w="1980" w:type="dxa"/>
            <w:noWrap/>
            <w:hideMark/>
          </w:tcPr>
          <w:p w14:paraId="0BE5CD8C"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29%</w:t>
            </w:r>
          </w:p>
        </w:tc>
        <w:tc>
          <w:tcPr>
            <w:tcW w:w="1260" w:type="dxa"/>
            <w:noWrap/>
            <w:hideMark/>
          </w:tcPr>
          <w:p w14:paraId="0A0B235E"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51%</w:t>
            </w:r>
          </w:p>
        </w:tc>
        <w:tc>
          <w:tcPr>
            <w:tcW w:w="1350" w:type="dxa"/>
            <w:noWrap/>
            <w:hideMark/>
          </w:tcPr>
          <w:p w14:paraId="685886C4" w14:textId="77777777" w:rsidR="00093808" w:rsidRPr="00E00F83" w:rsidRDefault="00093808" w:rsidP="00E00F8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00F83">
              <w:rPr>
                <w:rFonts w:eastAsia="Times New Roman"/>
                <w:color w:val="000000"/>
              </w:rPr>
              <w:t>15%</w:t>
            </w:r>
          </w:p>
        </w:tc>
      </w:tr>
      <w:tr w:rsidR="00093808" w:rsidRPr="00E00F83" w14:paraId="1F9C4479" w14:textId="77777777" w:rsidTr="009C4B57">
        <w:trPr>
          <w:trHeight w:val="288"/>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435958A" w14:textId="77777777" w:rsidR="00093808" w:rsidRPr="00E00F83" w:rsidRDefault="00093808" w:rsidP="00E00F83">
            <w:pPr>
              <w:widowControl/>
              <w:autoSpaceDE/>
              <w:autoSpaceDN/>
              <w:rPr>
                <w:rFonts w:eastAsia="Times New Roman"/>
              </w:rPr>
            </w:pPr>
            <w:r w:rsidRPr="00E00F83">
              <w:rPr>
                <w:rFonts w:eastAsia="Times New Roman"/>
              </w:rPr>
              <w:t>Water Heating</w:t>
            </w:r>
          </w:p>
        </w:tc>
        <w:tc>
          <w:tcPr>
            <w:tcW w:w="1530" w:type="dxa"/>
            <w:noWrap/>
            <w:hideMark/>
          </w:tcPr>
          <w:p w14:paraId="16B66F5B"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Statewide</w:t>
            </w:r>
          </w:p>
        </w:tc>
        <w:tc>
          <w:tcPr>
            <w:tcW w:w="1620" w:type="dxa"/>
            <w:noWrap/>
            <w:hideMark/>
          </w:tcPr>
          <w:p w14:paraId="6FDAAD94"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Warehouse</w:t>
            </w:r>
          </w:p>
        </w:tc>
        <w:tc>
          <w:tcPr>
            <w:tcW w:w="1980" w:type="dxa"/>
            <w:noWrap/>
            <w:hideMark/>
          </w:tcPr>
          <w:p w14:paraId="3341F775"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91%</w:t>
            </w:r>
          </w:p>
        </w:tc>
        <w:tc>
          <w:tcPr>
            <w:tcW w:w="1260" w:type="dxa"/>
            <w:noWrap/>
            <w:hideMark/>
          </w:tcPr>
          <w:p w14:paraId="04BF248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30%</w:t>
            </w:r>
          </w:p>
        </w:tc>
        <w:tc>
          <w:tcPr>
            <w:tcW w:w="1350" w:type="dxa"/>
            <w:noWrap/>
            <w:hideMark/>
          </w:tcPr>
          <w:p w14:paraId="33E97E3A" w14:textId="77777777" w:rsidR="00093808" w:rsidRPr="00E00F83" w:rsidRDefault="00093808" w:rsidP="00E00F8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00F83">
              <w:rPr>
                <w:rFonts w:eastAsia="Times New Roman"/>
                <w:color w:val="000000"/>
              </w:rPr>
              <w:t>27%</w:t>
            </w:r>
          </w:p>
        </w:tc>
      </w:tr>
    </w:tbl>
    <w:p w14:paraId="15BA8371" w14:textId="77777777" w:rsidR="00093808" w:rsidRDefault="00093808" w:rsidP="003C7D28">
      <w:pPr>
        <w:rPr>
          <w:b/>
          <w:bCs/>
          <w:sz w:val="20"/>
          <w:szCs w:val="20"/>
        </w:rPr>
      </w:pPr>
    </w:p>
    <w:p w14:paraId="29E24947" w14:textId="77777777" w:rsidR="007912B8" w:rsidRDefault="007912B8" w:rsidP="003C7D28">
      <w:pPr>
        <w:rPr>
          <w:b/>
          <w:bCs/>
          <w:sz w:val="20"/>
          <w:szCs w:val="20"/>
        </w:rPr>
      </w:pPr>
    </w:p>
    <w:p w14:paraId="06277EBF" w14:textId="77777777" w:rsidR="007912B8" w:rsidRDefault="007912B8" w:rsidP="003C7D28">
      <w:pPr>
        <w:rPr>
          <w:b/>
          <w:bCs/>
          <w:sz w:val="20"/>
          <w:szCs w:val="20"/>
        </w:rPr>
      </w:pPr>
    </w:p>
    <w:p w14:paraId="1568BCE0" w14:textId="77777777" w:rsidR="007912B8" w:rsidRDefault="007912B8" w:rsidP="003C7D28">
      <w:pPr>
        <w:rPr>
          <w:b/>
          <w:bCs/>
          <w:sz w:val="20"/>
          <w:szCs w:val="20"/>
        </w:rPr>
      </w:pPr>
    </w:p>
    <w:p w14:paraId="0FC465B2" w14:textId="77777777" w:rsidR="007912B8" w:rsidRDefault="007912B8" w:rsidP="003C7D28">
      <w:pPr>
        <w:rPr>
          <w:b/>
          <w:bCs/>
          <w:sz w:val="20"/>
          <w:szCs w:val="20"/>
        </w:rPr>
      </w:pPr>
    </w:p>
    <w:p w14:paraId="658F5094" w14:textId="77777777" w:rsidR="007912B8" w:rsidRDefault="007912B8" w:rsidP="003C7D28">
      <w:pPr>
        <w:rPr>
          <w:b/>
          <w:bCs/>
          <w:sz w:val="20"/>
          <w:szCs w:val="20"/>
        </w:rPr>
      </w:pPr>
    </w:p>
    <w:p w14:paraId="71449C7F" w14:textId="77777777" w:rsidR="007912B8" w:rsidRDefault="007912B8" w:rsidP="003C7D28">
      <w:pPr>
        <w:rPr>
          <w:b/>
          <w:bCs/>
          <w:sz w:val="20"/>
          <w:szCs w:val="20"/>
        </w:rPr>
      </w:pPr>
    </w:p>
    <w:p w14:paraId="05B01ED5" w14:textId="77777777" w:rsidR="007912B8" w:rsidRDefault="007912B8" w:rsidP="003C7D28">
      <w:pPr>
        <w:rPr>
          <w:b/>
          <w:bCs/>
          <w:sz w:val="20"/>
          <w:szCs w:val="20"/>
        </w:rPr>
      </w:pPr>
    </w:p>
    <w:p w14:paraId="4D775B7F" w14:textId="77777777" w:rsidR="007912B8" w:rsidRDefault="007912B8" w:rsidP="003C7D28">
      <w:pPr>
        <w:rPr>
          <w:b/>
          <w:bCs/>
          <w:sz w:val="20"/>
          <w:szCs w:val="20"/>
        </w:rPr>
      </w:pPr>
    </w:p>
    <w:p w14:paraId="34264C0F" w14:textId="1730FD6F" w:rsidR="00093808" w:rsidRDefault="00093808" w:rsidP="003C7D28">
      <w:pPr>
        <w:rPr>
          <w:sz w:val="20"/>
          <w:szCs w:val="20"/>
        </w:rPr>
      </w:pPr>
      <w:r w:rsidRPr="005D00C9">
        <w:rPr>
          <w:b/>
          <w:bCs/>
          <w:sz w:val="20"/>
          <w:szCs w:val="20"/>
        </w:rPr>
        <w:lastRenderedPageBreak/>
        <w:t xml:space="preserve">Table </w:t>
      </w:r>
      <w:r>
        <w:rPr>
          <w:b/>
          <w:bCs/>
          <w:sz w:val="20"/>
          <w:szCs w:val="20"/>
        </w:rPr>
        <w:t>4</w:t>
      </w:r>
      <w:r w:rsidRPr="005D00C9">
        <w:rPr>
          <w:b/>
          <w:bCs/>
          <w:sz w:val="20"/>
          <w:szCs w:val="20"/>
        </w:rPr>
        <w:t xml:space="preserve">. </w:t>
      </w:r>
      <w:r w:rsidRPr="00690ABF">
        <w:rPr>
          <w:sz w:val="20"/>
          <w:szCs w:val="20"/>
        </w:rPr>
        <w:t>Average</w:t>
      </w:r>
      <w:r>
        <w:rPr>
          <w:sz w:val="20"/>
          <w:szCs w:val="20"/>
        </w:rPr>
        <w:t xml:space="preserve"> Annual</w:t>
      </w:r>
      <w:r>
        <w:rPr>
          <w:b/>
          <w:bCs/>
          <w:sz w:val="20"/>
          <w:szCs w:val="20"/>
        </w:rPr>
        <w:t xml:space="preserve"> </w:t>
      </w:r>
      <w:r w:rsidRPr="005D00C9">
        <w:rPr>
          <w:sz w:val="20"/>
          <w:szCs w:val="20"/>
        </w:rPr>
        <w:t>Residential Unit Energy Consumption (therms) by End Use</w:t>
      </w:r>
      <w:r>
        <w:rPr>
          <w:sz w:val="20"/>
          <w:szCs w:val="20"/>
        </w:rPr>
        <w:t xml:space="preserve"> using 2019 RASS data Table 33</w:t>
      </w:r>
      <w:r>
        <w:rPr>
          <w:rStyle w:val="FootnoteReference"/>
          <w:sz w:val="20"/>
          <w:szCs w:val="20"/>
        </w:rPr>
        <w:footnoteReference w:id="9"/>
      </w:r>
    </w:p>
    <w:p w14:paraId="140A85D7" w14:textId="77777777" w:rsidR="00093808" w:rsidRPr="005D00C9" w:rsidRDefault="00093808" w:rsidP="003C7D28">
      <w:pPr>
        <w:rPr>
          <w:sz w:val="20"/>
          <w:szCs w:val="20"/>
        </w:rPr>
      </w:pPr>
    </w:p>
    <w:tbl>
      <w:tblPr>
        <w:tblStyle w:val="GridTable5Dark-Accent3"/>
        <w:tblW w:w="0" w:type="auto"/>
        <w:tblLook w:val="04A0" w:firstRow="1" w:lastRow="0" w:firstColumn="1" w:lastColumn="0" w:noHBand="0" w:noVBand="1"/>
      </w:tblPr>
      <w:tblGrid>
        <w:gridCol w:w="1605"/>
        <w:gridCol w:w="1595"/>
        <w:gridCol w:w="1595"/>
        <w:gridCol w:w="1630"/>
        <w:gridCol w:w="1536"/>
        <w:gridCol w:w="1389"/>
      </w:tblGrid>
      <w:tr w:rsidR="00093808" w14:paraId="3BACBFE7" w14:textId="65F0A816" w:rsidTr="00690A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FAD8C0" w14:textId="6B5E8195" w:rsidR="00093808" w:rsidRDefault="00093808" w:rsidP="003C7D28">
            <w:r>
              <w:t>Building Type</w:t>
            </w:r>
          </w:p>
        </w:tc>
        <w:tc>
          <w:tcPr>
            <w:tcW w:w="0" w:type="dxa"/>
          </w:tcPr>
          <w:p w14:paraId="665A1BA2" w14:textId="235C9916" w:rsidR="00093808" w:rsidRDefault="00093808" w:rsidP="003C7D28">
            <w:pPr>
              <w:cnfStyle w:val="100000000000" w:firstRow="1" w:lastRow="0" w:firstColumn="0" w:lastColumn="0" w:oddVBand="0" w:evenVBand="0" w:oddHBand="0" w:evenHBand="0" w:firstRowFirstColumn="0" w:firstRowLastColumn="0" w:lastRowFirstColumn="0" w:lastRowLastColumn="0"/>
            </w:pPr>
            <w:r>
              <w:t>Water Heating</w:t>
            </w:r>
          </w:p>
        </w:tc>
        <w:tc>
          <w:tcPr>
            <w:tcW w:w="0" w:type="dxa"/>
          </w:tcPr>
          <w:p w14:paraId="29E3068C" w14:textId="7C1877AF" w:rsidR="00093808" w:rsidRDefault="00093808" w:rsidP="003C7D28">
            <w:pPr>
              <w:cnfStyle w:val="100000000000" w:firstRow="1" w:lastRow="0" w:firstColumn="0" w:lastColumn="0" w:oddVBand="0" w:evenVBand="0" w:oddHBand="0" w:evenHBand="0" w:firstRowFirstColumn="0" w:firstRowLastColumn="0" w:lastRowFirstColumn="0" w:lastRowLastColumn="0"/>
            </w:pPr>
            <w:r>
              <w:t>Space Heating</w:t>
            </w:r>
          </w:p>
        </w:tc>
        <w:tc>
          <w:tcPr>
            <w:tcW w:w="0" w:type="dxa"/>
          </w:tcPr>
          <w:p w14:paraId="057EE388" w14:textId="072E5A7B" w:rsidR="00093808" w:rsidRDefault="00093808" w:rsidP="003C7D28">
            <w:pPr>
              <w:cnfStyle w:val="100000000000" w:firstRow="1" w:lastRow="0" w:firstColumn="0" w:lastColumn="0" w:oddVBand="0" w:evenVBand="0" w:oddHBand="0" w:evenHBand="0" w:firstRowFirstColumn="0" w:firstRowLastColumn="0" w:lastRowFirstColumn="0" w:lastRowLastColumn="0"/>
            </w:pPr>
            <w:r>
              <w:t>Pool/Spa Heating</w:t>
            </w:r>
          </w:p>
        </w:tc>
        <w:tc>
          <w:tcPr>
            <w:tcW w:w="0" w:type="dxa"/>
          </w:tcPr>
          <w:p w14:paraId="6FEB947F" w14:textId="2C0B81CB" w:rsidR="00093808" w:rsidRDefault="00093808" w:rsidP="003C7D28">
            <w:pPr>
              <w:cnfStyle w:val="100000000000" w:firstRow="1" w:lastRow="0" w:firstColumn="0" w:lastColumn="0" w:oddVBand="0" w:evenVBand="0" w:oddHBand="0" w:evenHBand="0" w:firstRowFirstColumn="0" w:firstRowLastColumn="0" w:lastRowFirstColumn="0" w:lastRowLastColumn="0"/>
            </w:pPr>
            <w:r>
              <w:t>Dryer</w:t>
            </w:r>
          </w:p>
        </w:tc>
        <w:tc>
          <w:tcPr>
            <w:tcW w:w="0" w:type="dxa"/>
          </w:tcPr>
          <w:p w14:paraId="5C6D4AAD" w14:textId="59A24A36" w:rsidR="00093808" w:rsidRDefault="00093808" w:rsidP="003C7D28">
            <w:pPr>
              <w:cnfStyle w:val="100000000000" w:firstRow="1" w:lastRow="0" w:firstColumn="0" w:lastColumn="0" w:oddVBand="0" w:evenVBand="0" w:oddHBand="0" w:evenHBand="0" w:firstRowFirstColumn="0" w:firstRowLastColumn="0" w:lastRowFirstColumn="0" w:lastRowLastColumn="0"/>
            </w:pPr>
            <w:r>
              <w:t>Cooking</w:t>
            </w:r>
          </w:p>
        </w:tc>
      </w:tr>
      <w:tr w:rsidR="00093808" w14:paraId="5BDE5615" w14:textId="287126D4" w:rsidTr="004E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D4ACCD1" w14:textId="772A00BB" w:rsidR="00093808" w:rsidRDefault="00093808" w:rsidP="003C7D28">
            <w:r>
              <w:t>Single Family</w:t>
            </w:r>
          </w:p>
        </w:tc>
        <w:tc>
          <w:tcPr>
            <w:tcW w:w="1595" w:type="dxa"/>
          </w:tcPr>
          <w:p w14:paraId="69A06E33" w14:textId="3423D900"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258</w:t>
            </w:r>
          </w:p>
        </w:tc>
        <w:tc>
          <w:tcPr>
            <w:tcW w:w="1595" w:type="dxa"/>
          </w:tcPr>
          <w:p w14:paraId="4AB09988" w14:textId="574C16E7"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189</w:t>
            </w:r>
          </w:p>
        </w:tc>
        <w:tc>
          <w:tcPr>
            <w:tcW w:w="1630" w:type="dxa"/>
          </w:tcPr>
          <w:p w14:paraId="73FECBAC" w14:textId="6F25E854"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200</w:t>
            </w:r>
          </w:p>
        </w:tc>
        <w:tc>
          <w:tcPr>
            <w:tcW w:w="1536" w:type="dxa"/>
          </w:tcPr>
          <w:p w14:paraId="10D87A73" w14:textId="1830711D"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11</w:t>
            </w:r>
          </w:p>
        </w:tc>
        <w:tc>
          <w:tcPr>
            <w:tcW w:w="1389" w:type="dxa"/>
          </w:tcPr>
          <w:p w14:paraId="17EB51A9" w14:textId="0B2B5ADB"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25</w:t>
            </w:r>
          </w:p>
        </w:tc>
      </w:tr>
      <w:tr w:rsidR="00093808" w14:paraId="182632BD" w14:textId="0A1CBA47" w:rsidTr="004E2B8B">
        <w:tc>
          <w:tcPr>
            <w:cnfStyle w:val="001000000000" w:firstRow="0" w:lastRow="0" w:firstColumn="1" w:lastColumn="0" w:oddVBand="0" w:evenVBand="0" w:oddHBand="0" w:evenHBand="0" w:firstRowFirstColumn="0" w:firstRowLastColumn="0" w:lastRowFirstColumn="0" w:lastRowLastColumn="0"/>
            <w:tcW w:w="1605" w:type="dxa"/>
          </w:tcPr>
          <w:p w14:paraId="7B994854" w14:textId="780F68EE" w:rsidR="00093808" w:rsidRDefault="00093808" w:rsidP="003C7D28">
            <w:r>
              <w:t>Townhome</w:t>
            </w:r>
          </w:p>
        </w:tc>
        <w:tc>
          <w:tcPr>
            <w:tcW w:w="1595" w:type="dxa"/>
          </w:tcPr>
          <w:p w14:paraId="4278C383" w14:textId="1DBB28EF"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257</w:t>
            </w:r>
          </w:p>
        </w:tc>
        <w:tc>
          <w:tcPr>
            <w:tcW w:w="1595" w:type="dxa"/>
          </w:tcPr>
          <w:p w14:paraId="2DF16251" w14:textId="0B891E6C"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83</w:t>
            </w:r>
          </w:p>
        </w:tc>
        <w:tc>
          <w:tcPr>
            <w:tcW w:w="1630" w:type="dxa"/>
          </w:tcPr>
          <w:p w14:paraId="20557C38" w14:textId="50C60EE0"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179</w:t>
            </w:r>
          </w:p>
        </w:tc>
        <w:tc>
          <w:tcPr>
            <w:tcW w:w="1536" w:type="dxa"/>
          </w:tcPr>
          <w:p w14:paraId="0A8B2C11" w14:textId="74F2C96B"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19</w:t>
            </w:r>
          </w:p>
        </w:tc>
        <w:tc>
          <w:tcPr>
            <w:tcW w:w="1389" w:type="dxa"/>
          </w:tcPr>
          <w:p w14:paraId="0B22E78D" w14:textId="47F48EE5"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22</w:t>
            </w:r>
          </w:p>
        </w:tc>
      </w:tr>
      <w:tr w:rsidR="00093808" w14:paraId="7324392C" w14:textId="081D7D4A" w:rsidTr="004E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0C7536BC" w14:textId="6F618CD4" w:rsidR="00093808" w:rsidRDefault="00093808" w:rsidP="003C7D28">
            <w:r>
              <w:t>2-4 Unit Apt.</w:t>
            </w:r>
          </w:p>
        </w:tc>
        <w:tc>
          <w:tcPr>
            <w:tcW w:w="1595" w:type="dxa"/>
          </w:tcPr>
          <w:p w14:paraId="07C17502" w14:textId="5C3BBAE2"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246</w:t>
            </w:r>
          </w:p>
        </w:tc>
        <w:tc>
          <w:tcPr>
            <w:tcW w:w="1595" w:type="dxa"/>
          </w:tcPr>
          <w:p w14:paraId="23B295BC" w14:textId="76C2CE84"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69</w:t>
            </w:r>
          </w:p>
        </w:tc>
        <w:tc>
          <w:tcPr>
            <w:tcW w:w="1630" w:type="dxa"/>
          </w:tcPr>
          <w:p w14:paraId="15271621" w14:textId="01C39EB3"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210</w:t>
            </w:r>
          </w:p>
        </w:tc>
        <w:tc>
          <w:tcPr>
            <w:tcW w:w="1536" w:type="dxa"/>
          </w:tcPr>
          <w:p w14:paraId="1788B8BF" w14:textId="0629E7B7"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18</w:t>
            </w:r>
          </w:p>
        </w:tc>
        <w:tc>
          <w:tcPr>
            <w:tcW w:w="1389" w:type="dxa"/>
          </w:tcPr>
          <w:p w14:paraId="6E5C298A" w14:textId="0C26924F"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24</w:t>
            </w:r>
          </w:p>
        </w:tc>
      </w:tr>
      <w:tr w:rsidR="00093808" w14:paraId="0C8E7500" w14:textId="7AE3F1B4" w:rsidTr="004E2B8B">
        <w:tc>
          <w:tcPr>
            <w:cnfStyle w:val="001000000000" w:firstRow="0" w:lastRow="0" w:firstColumn="1" w:lastColumn="0" w:oddVBand="0" w:evenVBand="0" w:oddHBand="0" w:evenHBand="0" w:firstRowFirstColumn="0" w:firstRowLastColumn="0" w:lastRowFirstColumn="0" w:lastRowLastColumn="0"/>
            <w:tcW w:w="1605" w:type="dxa"/>
          </w:tcPr>
          <w:p w14:paraId="4FB23941" w14:textId="6A0428F7" w:rsidR="00093808" w:rsidRDefault="00093808" w:rsidP="003C7D28">
            <w:r>
              <w:t>5+ Unit Apt.</w:t>
            </w:r>
          </w:p>
        </w:tc>
        <w:tc>
          <w:tcPr>
            <w:tcW w:w="1595" w:type="dxa"/>
          </w:tcPr>
          <w:p w14:paraId="034B5E97" w14:textId="576F30F2"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248</w:t>
            </w:r>
          </w:p>
        </w:tc>
        <w:tc>
          <w:tcPr>
            <w:tcW w:w="1595" w:type="dxa"/>
          </w:tcPr>
          <w:p w14:paraId="7D787083" w14:textId="17D03FC1"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53</w:t>
            </w:r>
          </w:p>
        </w:tc>
        <w:tc>
          <w:tcPr>
            <w:tcW w:w="1630" w:type="dxa"/>
          </w:tcPr>
          <w:p w14:paraId="1081517F" w14:textId="74298A93"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177</w:t>
            </w:r>
          </w:p>
        </w:tc>
        <w:tc>
          <w:tcPr>
            <w:tcW w:w="1536" w:type="dxa"/>
          </w:tcPr>
          <w:p w14:paraId="4C2041F0" w14:textId="000DA98F"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17</w:t>
            </w:r>
          </w:p>
        </w:tc>
        <w:tc>
          <w:tcPr>
            <w:tcW w:w="1389" w:type="dxa"/>
          </w:tcPr>
          <w:p w14:paraId="15BC755D" w14:textId="3E919927" w:rsidR="00093808" w:rsidRDefault="00093808" w:rsidP="00F36C60">
            <w:pPr>
              <w:jc w:val="right"/>
              <w:cnfStyle w:val="000000000000" w:firstRow="0" w:lastRow="0" w:firstColumn="0" w:lastColumn="0" w:oddVBand="0" w:evenVBand="0" w:oddHBand="0" w:evenHBand="0" w:firstRowFirstColumn="0" w:firstRowLastColumn="0" w:lastRowFirstColumn="0" w:lastRowLastColumn="0"/>
            </w:pPr>
            <w:r>
              <w:t>21</w:t>
            </w:r>
          </w:p>
        </w:tc>
      </w:tr>
      <w:tr w:rsidR="00093808" w14:paraId="134E454C" w14:textId="1300F7D4" w:rsidTr="004E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502B2830" w14:textId="68A6FCEA" w:rsidR="00093808" w:rsidRDefault="00093808" w:rsidP="003C7D28">
            <w:r>
              <w:t>Mobile Home</w:t>
            </w:r>
          </w:p>
        </w:tc>
        <w:tc>
          <w:tcPr>
            <w:tcW w:w="1595" w:type="dxa"/>
          </w:tcPr>
          <w:p w14:paraId="22B19334" w14:textId="30BBF3B8"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253</w:t>
            </w:r>
          </w:p>
        </w:tc>
        <w:tc>
          <w:tcPr>
            <w:tcW w:w="1595" w:type="dxa"/>
          </w:tcPr>
          <w:p w14:paraId="1168FC99" w14:textId="6DAB8F43"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144</w:t>
            </w:r>
          </w:p>
        </w:tc>
        <w:tc>
          <w:tcPr>
            <w:tcW w:w="1630" w:type="dxa"/>
          </w:tcPr>
          <w:p w14:paraId="03AF30BC" w14:textId="728EE466"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220</w:t>
            </w:r>
          </w:p>
        </w:tc>
        <w:tc>
          <w:tcPr>
            <w:tcW w:w="1536" w:type="dxa"/>
          </w:tcPr>
          <w:p w14:paraId="72ED43C8" w14:textId="0988A22B"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17</w:t>
            </w:r>
          </w:p>
        </w:tc>
        <w:tc>
          <w:tcPr>
            <w:tcW w:w="1389" w:type="dxa"/>
          </w:tcPr>
          <w:p w14:paraId="27302A21" w14:textId="00506BAF" w:rsidR="00093808" w:rsidRDefault="00093808" w:rsidP="00F36C60">
            <w:pPr>
              <w:jc w:val="right"/>
              <w:cnfStyle w:val="000000100000" w:firstRow="0" w:lastRow="0" w:firstColumn="0" w:lastColumn="0" w:oddVBand="0" w:evenVBand="0" w:oddHBand="1" w:evenHBand="0" w:firstRowFirstColumn="0" w:firstRowLastColumn="0" w:lastRowFirstColumn="0" w:lastRowLastColumn="0"/>
            </w:pPr>
            <w:r>
              <w:t>19</w:t>
            </w:r>
          </w:p>
        </w:tc>
      </w:tr>
    </w:tbl>
    <w:p w14:paraId="2CB08E74" w14:textId="77777777" w:rsidR="00093808" w:rsidRDefault="00093808" w:rsidP="003C7D28"/>
    <w:p w14:paraId="222041A6" w14:textId="418071F6" w:rsidR="00093808" w:rsidRDefault="00093808" w:rsidP="004E32F4">
      <w:pPr>
        <w:spacing w:after="240"/>
      </w:pPr>
      <w:r>
        <w:t>The data in Tables 1 through 4 show the greatest gas usage within the miscellaneous, restaurant, and healthcare building types.  The end-use with the highest saturation of natural gas is water heating in lodging, health care and colleges.</w:t>
      </w:r>
    </w:p>
    <w:p w14:paraId="4883EF55" w14:textId="58B4922A" w:rsidR="00093808" w:rsidRDefault="00093808" w:rsidP="004E32F4">
      <w:pPr>
        <w:spacing w:after="240"/>
      </w:pPr>
      <w:r>
        <w:t>As shown in Figure 1, the Draft 2023 Potential &amp; Goals study shows the greatest near-term energy savings potential from behavioral/</w:t>
      </w:r>
      <w:proofErr w:type="spellStart"/>
      <w:r>
        <w:t>retrocommissioning</w:t>
      </w:r>
      <w:proofErr w:type="spellEnd"/>
      <w:r>
        <w:t>/operational (BRO) measures, process heating improvements, water heating equipment and whole building retrofits. The potential for process heating is diminished over the longer term but largely offset by an increase in potential for space heating and whole building retrofits.</w:t>
      </w:r>
    </w:p>
    <w:p w14:paraId="1FE2EAE8" w14:textId="29D35CE8" w:rsidR="00093808" w:rsidRDefault="00093808" w:rsidP="002C44A0">
      <w:pPr>
        <w:rPr>
          <w:sz w:val="20"/>
          <w:szCs w:val="20"/>
        </w:rPr>
      </w:pPr>
      <w:r>
        <w:rPr>
          <w:b/>
          <w:bCs/>
          <w:sz w:val="20"/>
          <w:szCs w:val="20"/>
        </w:rPr>
        <w:t>Figure 1</w:t>
      </w:r>
      <w:r w:rsidRPr="00102019">
        <w:rPr>
          <w:b/>
          <w:bCs/>
          <w:sz w:val="20"/>
          <w:szCs w:val="20"/>
        </w:rPr>
        <w:t xml:space="preserve">: </w:t>
      </w:r>
      <w:r>
        <w:rPr>
          <w:sz w:val="20"/>
          <w:szCs w:val="20"/>
        </w:rPr>
        <w:t>Gas Energy Efficiency Potential (2020-2032)</w:t>
      </w:r>
    </w:p>
    <w:p w14:paraId="50101901" w14:textId="2AD52D74" w:rsidR="00093808" w:rsidRPr="00102019" w:rsidRDefault="00093808" w:rsidP="002C44A0">
      <w:pPr>
        <w:rPr>
          <w:sz w:val="20"/>
          <w:szCs w:val="20"/>
        </w:rPr>
      </w:pPr>
      <w:r>
        <w:rPr>
          <w:noProof/>
        </w:rPr>
        <w:drawing>
          <wp:inline distT="0" distB="0" distL="0" distR="0" wp14:anchorId="7749299B" wp14:editId="3787E0A0">
            <wp:extent cx="5943600" cy="2201545"/>
            <wp:effectExtent l="0" t="0" r="0" b="8255"/>
            <wp:docPr id="45266702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7022" name="Picture 1" descr="A screenshot of a graph&#10;&#10;Description automatically generated"/>
                    <pic:cNvPicPr/>
                  </pic:nvPicPr>
                  <pic:blipFill>
                    <a:blip r:embed="rId12"/>
                    <a:stretch>
                      <a:fillRect/>
                    </a:stretch>
                  </pic:blipFill>
                  <pic:spPr>
                    <a:xfrm>
                      <a:off x="0" y="0"/>
                      <a:ext cx="5943600" cy="2201545"/>
                    </a:xfrm>
                    <a:prstGeom prst="rect">
                      <a:avLst/>
                    </a:prstGeom>
                  </pic:spPr>
                </pic:pic>
              </a:graphicData>
            </a:graphic>
          </wp:inline>
        </w:drawing>
      </w:r>
    </w:p>
    <w:p w14:paraId="24F025D2" w14:textId="59F009E7" w:rsidR="00093808" w:rsidRDefault="00093808" w:rsidP="003C7D28"/>
    <w:p w14:paraId="2D6F5BD1" w14:textId="77777777" w:rsidR="00093808" w:rsidRDefault="00093808" w:rsidP="003C7D28"/>
    <w:p w14:paraId="633E3451" w14:textId="7DCDC9B6" w:rsidR="00093808" w:rsidRDefault="00093808">
      <w:r>
        <w:t>In D.21-09-037, the CPUC provided direction that energy efficiency portfolios will be evaluated on a new metric of Total System Benefit (TSB). As shown in Figure 2, energy efficiency potential as measured by TSB provides a similar conclusion as in Figure 1 with whole building retrofits, water heating equipment and process heating providing the highest overall level of benefit.</w:t>
      </w:r>
    </w:p>
    <w:p w14:paraId="74424BB5" w14:textId="77777777" w:rsidR="00093808" w:rsidRDefault="00093808"/>
    <w:p w14:paraId="22715B4D" w14:textId="77777777" w:rsidR="007912B8" w:rsidRDefault="007912B8" w:rsidP="008116F6">
      <w:pPr>
        <w:rPr>
          <w:b/>
          <w:bCs/>
          <w:sz w:val="20"/>
          <w:szCs w:val="20"/>
        </w:rPr>
      </w:pPr>
    </w:p>
    <w:p w14:paraId="32BFBD18" w14:textId="77777777" w:rsidR="007912B8" w:rsidRDefault="007912B8" w:rsidP="008116F6">
      <w:pPr>
        <w:rPr>
          <w:b/>
          <w:bCs/>
          <w:sz w:val="20"/>
          <w:szCs w:val="20"/>
        </w:rPr>
      </w:pPr>
    </w:p>
    <w:p w14:paraId="0794DD71" w14:textId="77777777" w:rsidR="007912B8" w:rsidRDefault="007912B8" w:rsidP="008116F6">
      <w:pPr>
        <w:rPr>
          <w:b/>
          <w:bCs/>
          <w:sz w:val="20"/>
          <w:szCs w:val="20"/>
        </w:rPr>
      </w:pPr>
    </w:p>
    <w:p w14:paraId="3767DAA6" w14:textId="77777777" w:rsidR="007912B8" w:rsidRDefault="007912B8" w:rsidP="008116F6">
      <w:pPr>
        <w:rPr>
          <w:b/>
          <w:bCs/>
          <w:sz w:val="20"/>
          <w:szCs w:val="20"/>
        </w:rPr>
      </w:pPr>
    </w:p>
    <w:p w14:paraId="34A23115" w14:textId="77777777" w:rsidR="007912B8" w:rsidRDefault="007912B8" w:rsidP="008116F6">
      <w:pPr>
        <w:rPr>
          <w:b/>
          <w:bCs/>
          <w:sz w:val="20"/>
          <w:szCs w:val="20"/>
        </w:rPr>
      </w:pPr>
    </w:p>
    <w:p w14:paraId="50EE7DFB" w14:textId="77777777" w:rsidR="007912B8" w:rsidRDefault="007912B8" w:rsidP="008116F6">
      <w:pPr>
        <w:rPr>
          <w:b/>
          <w:bCs/>
          <w:sz w:val="20"/>
          <w:szCs w:val="20"/>
        </w:rPr>
      </w:pPr>
    </w:p>
    <w:p w14:paraId="34B863E7" w14:textId="3A61B1CB" w:rsidR="00093808" w:rsidRDefault="00093808" w:rsidP="008116F6">
      <w:pPr>
        <w:rPr>
          <w:b/>
          <w:bCs/>
          <w:sz w:val="20"/>
          <w:szCs w:val="20"/>
        </w:rPr>
      </w:pPr>
      <w:r>
        <w:rPr>
          <w:b/>
          <w:bCs/>
          <w:sz w:val="20"/>
          <w:szCs w:val="20"/>
        </w:rPr>
        <w:lastRenderedPageBreak/>
        <w:t>Figure 2</w:t>
      </w:r>
      <w:r w:rsidRPr="00102019">
        <w:rPr>
          <w:b/>
          <w:bCs/>
          <w:sz w:val="20"/>
          <w:szCs w:val="20"/>
        </w:rPr>
        <w:t xml:space="preserve">: </w:t>
      </w:r>
      <w:r>
        <w:rPr>
          <w:sz w:val="20"/>
          <w:szCs w:val="20"/>
        </w:rPr>
        <w:t>Gas TSB Potential (2020-2032)</w:t>
      </w:r>
    </w:p>
    <w:p w14:paraId="3347CF3B" w14:textId="18BFF547" w:rsidR="00093808" w:rsidRDefault="00093808" w:rsidP="008116F6">
      <w:pPr>
        <w:rPr>
          <w:b/>
          <w:bCs/>
          <w:sz w:val="20"/>
          <w:szCs w:val="20"/>
        </w:rPr>
      </w:pPr>
      <w:r>
        <w:rPr>
          <w:noProof/>
        </w:rPr>
        <w:drawing>
          <wp:inline distT="0" distB="0" distL="0" distR="0" wp14:anchorId="17317126" wp14:editId="31DAA227">
            <wp:extent cx="5943600" cy="1976755"/>
            <wp:effectExtent l="0" t="0" r="0" b="4445"/>
            <wp:docPr id="897781346"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81346" name="Picture 1" descr="A graph of different colored bars&#10;&#10;Description automatically generated with medium confidence"/>
                    <pic:cNvPicPr/>
                  </pic:nvPicPr>
                  <pic:blipFill>
                    <a:blip r:embed="rId13"/>
                    <a:stretch>
                      <a:fillRect/>
                    </a:stretch>
                  </pic:blipFill>
                  <pic:spPr>
                    <a:xfrm>
                      <a:off x="0" y="0"/>
                      <a:ext cx="5943600" cy="1976755"/>
                    </a:xfrm>
                    <a:prstGeom prst="rect">
                      <a:avLst/>
                    </a:prstGeom>
                  </pic:spPr>
                </pic:pic>
              </a:graphicData>
            </a:graphic>
          </wp:inline>
        </w:drawing>
      </w:r>
    </w:p>
    <w:p w14:paraId="17F714E3" w14:textId="71A05BA8" w:rsidR="00093808" w:rsidRDefault="00093808" w:rsidP="008116F6"/>
    <w:p w14:paraId="7CE91065" w14:textId="77777777" w:rsidR="00093808" w:rsidRPr="00D11EC9" w:rsidRDefault="00093808" w:rsidP="008116F6"/>
    <w:p w14:paraId="0651C5A1" w14:textId="77777777" w:rsidR="00093808" w:rsidRDefault="00093808" w:rsidP="003C7D28"/>
    <w:p w14:paraId="37518235" w14:textId="4FDF5988" w:rsidR="00093808" w:rsidRDefault="00093808" w:rsidP="004E32F4">
      <w:pPr>
        <w:spacing w:after="240"/>
      </w:pPr>
      <w:r>
        <w:t>The Potential &amp; Goals Study identifies many measures within these end-use categories that have the highest potential for energy savings through 2030 as listed in Table 4.</w:t>
      </w:r>
    </w:p>
    <w:p w14:paraId="653FBFBD" w14:textId="59A58280" w:rsidR="00093808" w:rsidRPr="00102019" w:rsidRDefault="00093808" w:rsidP="003C7D28">
      <w:pPr>
        <w:rPr>
          <w:sz w:val="20"/>
          <w:szCs w:val="20"/>
        </w:rPr>
      </w:pPr>
      <w:r w:rsidRPr="00102019">
        <w:rPr>
          <w:b/>
          <w:bCs/>
          <w:sz w:val="20"/>
          <w:szCs w:val="20"/>
        </w:rPr>
        <w:t xml:space="preserve">Table </w:t>
      </w:r>
      <w:r>
        <w:rPr>
          <w:b/>
          <w:bCs/>
          <w:sz w:val="20"/>
          <w:szCs w:val="20"/>
        </w:rPr>
        <w:t>5</w:t>
      </w:r>
      <w:r w:rsidRPr="00102019">
        <w:rPr>
          <w:b/>
          <w:bCs/>
          <w:sz w:val="20"/>
          <w:szCs w:val="20"/>
        </w:rPr>
        <w:t xml:space="preserve">: </w:t>
      </w:r>
      <w:r w:rsidRPr="00102019">
        <w:rPr>
          <w:sz w:val="20"/>
          <w:szCs w:val="20"/>
        </w:rPr>
        <w:t xml:space="preserve">Measures with High Potential for </w:t>
      </w:r>
      <w:r>
        <w:rPr>
          <w:sz w:val="20"/>
          <w:szCs w:val="20"/>
        </w:rPr>
        <w:t>T</w:t>
      </w:r>
      <w:r w:rsidRPr="00102019">
        <w:rPr>
          <w:sz w:val="20"/>
          <w:szCs w:val="20"/>
        </w:rPr>
        <w:t>herm Savings</w:t>
      </w:r>
      <w:r>
        <w:rPr>
          <w:sz w:val="20"/>
          <w:szCs w:val="20"/>
        </w:rPr>
        <w:t xml:space="preserve"> (2022-2030)</w:t>
      </w:r>
    </w:p>
    <w:tbl>
      <w:tblPr>
        <w:tblStyle w:val="GridTable4-Accent3"/>
        <w:tblW w:w="0" w:type="auto"/>
        <w:tblLook w:val="04A0" w:firstRow="1" w:lastRow="0" w:firstColumn="1" w:lastColumn="0" w:noHBand="0" w:noVBand="1"/>
      </w:tblPr>
      <w:tblGrid>
        <w:gridCol w:w="2548"/>
        <w:gridCol w:w="2280"/>
        <w:gridCol w:w="2501"/>
        <w:gridCol w:w="2021"/>
      </w:tblGrid>
      <w:tr w:rsidR="00093808" w14:paraId="5DD6EB49" w14:textId="3EB6CCE6" w:rsidTr="00606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14:paraId="46E0BA7A" w14:textId="7CB11922" w:rsidR="00093808" w:rsidRDefault="00093808" w:rsidP="003C7D28">
            <w:r>
              <w:t xml:space="preserve">Commercial </w:t>
            </w:r>
          </w:p>
        </w:tc>
        <w:tc>
          <w:tcPr>
            <w:tcW w:w="2280" w:type="dxa"/>
          </w:tcPr>
          <w:p w14:paraId="365EB8CE" w14:textId="372513AA" w:rsidR="00093808" w:rsidRDefault="00093808" w:rsidP="003C7D28">
            <w:pPr>
              <w:cnfStyle w:val="100000000000" w:firstRow="1" w:lastRow="0" w:firstColumn="0" w:lastColumn="0" w:oddVBand="0" w:evenVBand="0" w:oddHBand="0" w:evenHBand="0" w:firstRowFirstColumn="0" w:firstRowLastColumn="0" w:lastRowFirstColumn="0" w:lastRowLastColumn="0"/>
            </w:pPr>
            <w:r>
              <w:t xml:space="preserve">Industrial </w:t>
            </w:r>
          </w:p>
        </w:tc>
        <w:tc>
          <w:tcPr>
            <w:tcW w:w="2501" w:type="dxa"/>
          </w:tcPr>
          <w:p w14:paraId="6AE4928C" w14:textId="7A28F5B2" w:rsidR="00093808" w:rsidRDefault="00093808" w:rsidP="003C7D28">
            <w:pPr>
              <w:cnfStyle w:val="100000000000" w:firstRow="1" w:lastRow="0" w:firstColumn="0" w:lastColumn="0" w:oddVBand="0" w:evenVBand="0" w:oddHBand="0" w:evenHBand="0" w:firstRowFirstColumn="0" w:firstRowLastColumn="0" w:lastRowFirstColumn="0" w:lastRowLastColumn="0"/>
            </w:pPr>
            <w:r>
              <w:t xml:space="preserve">Residential </w:t>
            </w:r>
          </w:p>
        </w:tc>
        <w:tc>
          <w:tcPr>
            <w:tcW w:w="2021" w:type="dxa"/>
          </w:tcPr>
          <w:p w14:paraId="05DF768A" w14:textId="3F210646" w:rsidR="00093808" w:rsidRDefault="00093808" w:rsidP="003C7D28">
            <w:pPr>
              <w:cnfStyle w:val="100000000000" w:firstRow="1" w:lastRow="0" w:firstColumn="0" w:lastColumn="0" w:oddVBand="0" w:evenVBand="0" w:oddHBand="0" w:evenHBand="0" w:firstRowFirstColumn="0" w:firstRowLastColumn="0" w:lastRowFirstColumn="0" w:lastRowLastColumn="0"/>
            </w:pPr>
            <w:r>
              <w:t>Other</w:t>
            </w:r>
          </w:p>
        </w:tc>
      </w:tr>
      <w:tr w:rsidR="00093808" w14:paraId="0513CA08" w14:textId="02AB7F32" w:rsidTr="0060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14:paraId="190D350D" w14:textId="7EEE3FAB" w:rsidR="00093808" w:rsidRPr="0084584E" w:rsidRDefault="00093808" w:rsidP="003C7D28">
            <w:pPr>
              <w:rPr>
                <w:b w:val="0"/>
                <w:bCs w:val="0"/>
              </w:rPr>
            </w:pPr>
            <w:r>
              <w:rPr>
                <w:b w:val="0"/>
                <w:bCs w:val="0"/>
              </w:rPr>
              <w:t>Ozone Laundry System</w:t>
            </w:r>
          </w:p>
        </w:tc>
        <w:tc>
          <w:tcPr>
            <w:tcW w:w="2280" w:type="dxa"/>
          </w:tcPr>
          <w:p w14:paraId="2AB8EBEC" w14:textId="42291C43" w:rsidR="00093808" w:rsidRDefault="00093808" w:rsidP="003C7D28">
            <w:pPr>
              <w:cnfStyle w:val="000000100000" w:firstRow="0" w:lastRow="0" w:firstColumn="0" w:lastColumn="0" w:oddVBand="0" w:evenVBand="0" w:oddHBand="1" w:evenHBand="0" w:firstRowFirstColumn="0" w:firstRowLastColumn="0" w:lastRowFirstColumn="0" w:lastRowLastColumn="0"/>
            </w:pPr>
            <w:r>
              <w:t>Heat Recovery</w:t>
            </w:r>
          </w:p>
        </w:tc>
        <w:tc>
          <w:tcPr>
            <w:tcW w:w="2501" w:type="dxa"/>
          </w:tcPr>
          <w:p w14:paraId="133F790E" w14:textId="3E2E0EC1" w:rsidR="00093808" w:rsidRDefault="00093808" w:rsidP="003C7D28">
            <w:pPr>
              <w:cnfStyle w:val="000000100000" w:firstRow="0" w:lastRow="0" w:firstColumn="0" w:lastColumn="0" w:oddVBand="0" w:evenVBand="0" w:oddHBand="1" w:evenHBand="0" w:firstRowFirstColumn="0" w:firstRowLastColumn="0" w:lastRowFirstColumn="0" w:lastRowLastColumn="0"/>
            </w:pPr>
            <w:r>
              <w:t>Tankless Water Heater</w:t>
            </w:r>
          </w:p>
        </w:tc>
        <w:tc>
          <w:tcPr>
            <w:tcW w:w="2021" w:type="dxa"/>
          </w:tcPr>
          <w:p w14:paraId="083B479B" w14:textId="32C6A391" w:rsidR="00093808" w:rsidRDefault="00093808" w:rsidP="003C7D28">
            <w:pPr>
              <w:cnfStyle w:val="000000100000" w:firstRow="0" w:lastRow="0" w:firstColumn="0" w:lastColumn="0" w:oddVBand="0" w:evenVBand="0" w:oddHBand="1" w:evenHBand="0" w:firstRowFirstColumn="0" w:firstRowLastColumn="0" w:lastRowFirstColumn="0" w:lastRowLastColumn="0"/>
            </w:pPr>
            <w:r>
              <w:t>Generic Custom Measures</w:t>
            </w:r>
          </w:p>
        </w:tc>
      </w:tr>
      <w:tr w:rsidR="00093808" w14:paraId="1F5555F6" w14:textId="12359BCF" w:rsidTr="00606067">
        <w:tc>
          <w:tcPr>
            <w:cnfStyle w:val="001000000000" w:firstRow="0" w:lastRow="0" w:firstColumn="1" w:lastColumn="0" w:oddVBand="0" w:evenVBand="0" w:oddHBand="0" w:evenHBand="0" w:firstRowFirstColumn="0" w:firstRowLastColumn="0" w:lastRowFirstColumn="0" w:lastRowLastColumn="0"/>
            <w:tcW w:w="2548" w:type="dxa"/>
          </w:tcPr>
          <w:p w14:paraId="633A545E" w14:textId="07F8E8D8" w:rsidR="00093808" w:rsidRPr="0084584E" w:rsidRDefault="00093808" w:rsidP="003C7D28">
            <w:pPr>
              <w:rPr>
                <w:b w:val="0"/>
                <w:bCs w:val="0"/>
              </w:rPr>
            </w:pPr>
            <w:r>
              <w:rPr>
                <w:b w:val="0"/>
                <w:bCs w:val="0"/>
              </w:rPr>
              <w:t>Energy Star Fryer</w:t>
            </w:r>
          </w:p>
        </w:tc>
        <w:tc>
          <w:tcPr>
            <w:tcW w:w="2280" w:type="dxa"/>
          </w:tcPr>
          <w:p w14:paraId="4FC39495" w14:textId="06337EF0" w:rsidR="00093808" w:rsidRDefault="00093808" w:rsidP="003C7D28">
            <w:pPr>
              <w:cnfStyle w:val="000000000000" w:firstRow="0" w:lastRow="0" w:firstColumn="0" w:lastColumn="0" w:oddVBand="0" w:evenVBand="0" w:oddHBand="0" w:evenHBand="0" w:firstRowFirstColumn="0" w:firstRowLastColumn="0" w:lastRowFirstColumn="0" w:lastRowLastColumn="0"/>
            </w:pPr>
            <w:r>
              <w:t>Boiler Controls</w:t>
            </w:r>
          </w:p>
        </w:tc>
        <w:tc>
          <w:tcPr>
            <w:tcW w:w="2501" w:type="dxa"/>
          </w:tcPr>
          <w:p w14:paraId="1D27EA54" w14:textId="73095B11" w:rsidR="00093808" w:rsidRDefault="00093808" w:rsidP="003C7D28">
            <w:pPr>
              <w:cnfStyle w:val="000000000000" w:firstRow="0" w:lastRow="0" w:firstColumn="0" w:lastColumn="0" w:oddVBand="0" w:evenVBand="0" w:oddHBand="0" w:evenHBand="0" w:firstRowFirstColumn="0" w:firstRowLastColumn="0" w:lastRowFirstColumn="0" w:lastRowLastColumn="0"/>
            </w:pPr>
            <w:r>
              <w:t>HERS</w:t>
            </w:r>
          </w:p>
        </w:tc>
        <w:tc>
          <w:tcPr>
            <w:tcW w:w="2021" w:type="dxa"/>
          </w:tcPr>
          <w:p w14:paraId="2DA71DA2" w14:textId="28220D3D" w:rsidR="00093808" w:rsidRDefault="00093808" w:rsidP="003C7D28">
            <w:pPr>
              <w:cnfStyle w:val="000000000000" w:firstRow="0" w:lastRow="0" w:firstColumn="0" w:lastColumn="0" w:oddVBand="0" w:evenVBand="0" w:oddHBand="0" w:evenHBand="0" w:firstRowFirstColumn="0" w:firstRowLastColumn="0" w:lastRowFirstColumn="0" w:lastRowLastColumn="0"/>
            </w:pPr>
            <w:r>
              <w:t>Strategic Energy Management</w:t>
            </w:r>
          </w:p>
        </w:tc>
      </w:tr>
      <w:tr w:rsidR="00093808" w14:paraId="46DA6F24" w14:textId="079CDDF8" w:rsidTr="00606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14:paraId="27CF6FBF" w14:textId="48F788A5" w:rsidR="00093808" w:rsidRPr="0084584E" w:rsidRDefault="00093808" w:rsidP="003C7D28">
            <w:pPr>
              <w:rPr>
                <w:b w:val="0"/>
                <w:bCs w:val="0"/>
              </w:rPr>
            </w:pPr>
            <w:r>
              <w:rPr>
                <w:b w:val="0"/>
                <w:bCs w:val="0"/>
              </w:rPr>
              <w:t>Condensing Gas Boiler</w:t>
            </w:r>
          </w:p>
        </w:tc>
        <w:tc>
          <w:tcPr>
            <w:tcW w:w="2280" w:type="dxa"/>
          </w:tcPr>
          <w:p w14:paraId="5BFEC0C3" w14:textId="1916CEA8" w:rsidR="00093808" w:rsidRDefault="00093808" w:rsidP="003C7D28">
            <w:pPr>
              <w:cnfStyle w:val="000000100000" w:firstRow="0" w:lastRow="0" w:firstColumn="0" w:lastColumn="0" w:oddVBand="0" w:evenVBand="0" w:oddHBand="1" w:evenHBand="0" w:firstRowFirstColumn="0" w:firstRowLastColumn="0" w:lastRowFirstColumn="0" w:lastRowLastColumn="0"/>
            </w:pPr>
            <w:r>
              <w:t>Insulation</w:t>
            </w:r>
          </w:p>
        </w:tc>
        <w:tc>
          <w:tcPr>
            <w:tcW w:w="2501" w:type="dxa"/>
          </w:tcPr>
          <w:p w14:paraId="5735D287" w14:textId="5B420A51" w:rsidR="00093808" w:rsidRDefault="00093808" w:rsidP="003C7D28">
            <w:pPr>
              <w:cnfStyle w:val="000000100000" w:firstRow="0" w:lastRow="0" w:firstColumn="0" w:lastColumn="0" w:oddVBand="0" w:evenVBand="0" w:oddHBand="1" w:evenHBand="0" w:firstRowFirstColumn="0" w:firstRowLastColumn="0" w:lastRowFirstColumn="0" w:lastRowLastColumn="0"/>
            </w:pPr>
            <w:r>
              <w:t>ZNE Building</w:t>
            </w:r>
          </w:p>
        </w:tc>
        <w:tc>
          <w:tcPr>
            <w:tcW w:w="2021" w:type="dxa"/>
          </w:tcPr>
          <w:p w14:paraId="27FC3A47" w14:textId="4F7C53A4" w:rsidR="00093808" w:rsidRDefault="00093808" w:rsidP="003C7D28">
            <w:pPr>
              <w:cnfStyle w:val="000000100000" w:firstRow="0" w:lastRow="0" w:firstColumn="0" w:lastColumn="0" w:oddVBand="0" w:evenVBand="0" w:oddHBand="1" w:evenHBand="0" w:firstRowFirstColumn="0" w:firstRowLastColumn="0" w:lastRowFirstColumn="0" w:lastRowLastColumn="0"/>
            </w:pPr>
            <w:r>
              <w:t>Building Operator Certification</w:t>
            </w:r>
          </w:p>
        </w:tc>
      </w:tr>
      <w:tr w:rsidR="00093808" w14:paraId="705F4246" w14:textId="21F871C8" w:rsidTr="00606067">
        <w:tc>
          <w:tcPr>
            <w:cnfStyle w:val="001000000000" w:firstRow="0" w:lastRow="0" w:firstColumn="1" w:lastColumn="0" w:oddVBand="0" w:evenVBand="0" w:oddHBand="0" w:evenHBand="0" w:firstRowFirstColumn="0" w:firstRowLastColumn="0" w:lastRowFirstColumn="0" w:lastRowLastColumn="0"/>
            <w:tcW w:w="2548" w:type="dxa"/>
          </w:tcPr>
          <w:p w14:paraId="44E699B6" w14:textId="0F92A03E" w:rsidR="00093808" w:rsidRPr="0084584E" w:rsidRDefault="00093808" w:rsidP="003C7D28">
            <w:pPr>
              <w:rPr>
                <w:b w:val="0"/>
                <w:bCs w:val="0"/>
              </w:rPr>
            </w:pPr>
            <w:r>
              <w:rPr>
                <w:b w:val="0"/>
                <w:bCs w:val="0"/>
              </w:rPr>
              <w:t>Water Pipe Insulation</w:t>
            </w:r>
          </w:p>
        </w:tc>
        <w:tc>
          <w:tcPr>
            <w:tcW w:w="2280" w:type="dxa"/>
          </w:tcPr>
          <w:p w14:paraId="5DA3A897" w14:textId="77777777" w:rsidR="00093808" w:rsidRDefault="00093808" w:rsidP="003C7D28">
            <w:pPr>
              <w:cnfStyle w:val="000000000000" w:firstRow="0" w:lastRow="0" w:firstColumn="0" w:lastColumn="0" w:oddVBand="0" w:evenVBand="0" w:oddHBand="0" w:evenHBand="0" w:firstRowFirstColumn="0" w:firstRowLastColumn="0" w:lastRowFirstColumn="0" w:lastRowLastColumn="0"/>
            </w:pPr>
          </w:p>
        </w:tc>
        <w:tc>
          <w:tcPr>
            <w:tcW w:w="2501" w:type="dxa"/>
          </w:tcPr>
          <w:p w14:paraId="6A87A203" w14:textId="577228D0" w:rsidR="00093808" w:rsidRDefault="00093808" w:rsidP="003C7D28">
            <w:pPr>
              <w:cnfStyle w:val="000000000000" w:firstRow="0" w:lastRow="0" w:firstColumn="0" w:lastColumn="0" w:oddVBand="0" w:evenVBand="0" w:oddHBand="0" w:evenHBand="0" w:firstRowFirstColumn="0" w:firstRowLastColumn="0" w:lastRowFirstColumn="0" w:lastRowLastColumn="0"/>
            </w:pPr>
            <w:r>
              <w:t>Water Heating Controls</w:t>
            </w:r>
          </w:p>
        </w:tc>
        <w:tc>
          <w:tcPr>
            <w:tcW w:w="2021" w:type="dxa"/>
          </w:tcPr>
          <w:p w14:paraId="5331CBF0" w14:textId="77777777" w:rsidR="00093808" w:rsidRDefault="00093808" w:rsidP="003C7D28">
            <w:pPr>
              <w:cnfStyle w:val="000000000000" w:firstRow="0" w:lastRow="0" w:firstColumn="0" w:lastColumn="0" w:oddVBand="0" w:evenVBand="0" w:oddHBand="0" w:evenHBand="0" w:firstRowFirstColumn="0" w:firstRowLastColumn="0" w:lastRowFirstColumn="0" w:lastRowLastColumn="0"/>
            </w:pPr>
          </w:p>
        </w:tc>
      </w:tr>
    </w:tbl>
    <w:p w14:paraId="3DD01FD1" w14:textId="77777777" w:rsidR="00093808" w:rsidRDefault="00093808" w:rsidP="003C7D28"/>
    <w:p w14:paraId="3F167367" w14:textId="2208DB01" w:rsidR="00093808" w:rsidRDefault="00093808" w:rsidP="004E32F4">
      <w:pPr>
        <w:spacing w:after="240"/>
      </w:pPr>
      <w:r>
        <w:t>Many of these technologies are further documented as priority items in the Technology Priority Maps (TPMs)</w:t>
      </w:r>
      <w:r>
        <w:rPr>
          <w:rStyle w:val="FootnoteReference"/>
        </w:rPr>
        <w:footnoteReference w:id="10"/>
      </w:r>
      <w:r>
        <w:t>.</w:t>
      </w:r>
    </w:p>
    <w:p w14:paraId="3C40A9E6" w14:textId="10067B7E" w:rsidR="00093808" w:rsidRPr="00F14A9B" w:rsidRDefault="00093808" w:rsidP="00103C3E">
      <w:pPr>
        <w:pStyle w:val="Heading1"/>
        <w:rPr>
          <w:sz w:val="28"/>
          <w:szCs w:val="28"/>
        </w:rPr>
      </w:pPr>
      <w:bookmarkStart w:id="1" w:name="_Toc213213538"/>
      <w:r>
        <w:rPr>
          <w:sz w:val="28"/>
          <w:szCs w:val="28"/>
        </w:rPr>
        <w:t>GET Program</w:t>
      </w:r>
      <w:r w:rsidRPr="00F14A9B">
        <w:rPr>
          <w:sz w:val="28"/>
          <w:szCs w:val="28"/>
        </w:rPr>
        <w:t xml:space="preserve"> Vision</w:t>
      </w:r>
      <w:bookmarkEnd w:id="1"/>
    </w:p>
    <w:p w14:paraId="5A55AC83" w14:textId="5340FE1B" w:rsidR="00093808" w:rsidRPr="00D11EC9" w:rsidRDefault="00093808" w:rsidP="003C7D28">
      <w:pPr>
        <w:rPr>
          <w:b/>
          <w:bCs/>
        </w:rPr>
      </w:pPr>
      <w:r>
        <w:t xml:space="preserve">GET’s vision is to investigate natural gas </w:t>
      </w:r>
      <w:r w:rsidRPr="00B94748">
        <w:t>energy efficiency technolog</w:t>
      </w:r>
      <w:r>
        <w:t>ies</w:t>
      </w:r>
      <w:r w:rsidRPr="00B94748">
        <w:t xml:space="preserve"> </w:t>
      </w:r>
      <w:r>
        <w:t xml:space="preserve">that have the added potential to </w:t>
      </w:r>
      <w:r w:rsidRPr="00B94748">
        <w:t>enact a positive impact on global climate change and achiev</w:t>
      </w:r>
      <w:r>
        <w:t>e</w:t>
      </w:r>
      <w:r w:rsidRPr="00B94748">
        <w:t xml:space="preserve"> statewide greenhouse gas emissions reduction targets</w:t>
      </w:r>
      <w:r w:rsidRPr="00D11EC9">
        <w:t>.</w:t>
      </w:r>
      <w:r>
        <w:t xml:space="preserve"> GET achieves its vision in a collaborative fashion engaging technology developers and other relevant stakeholders to align California’s gas IOUs needs with manufacturer product development efforts and ultimately deliver energy-saving technologies to the market that deliver customer value. </w:t>
      </w:r>
    </w:p>
    <w:p w14:paraId="7FC0F739" w14:textId="07B0A6D1" w:rsidR="00093808" w:rsidRPr="00F14A9B" w:rsidRDefault="00093808" w:rsidP="00103C3E">
      <w:pPr>
        <w:pStyle w:val="Heading1"/>
        <w:rPr>
          <w:sz w:val="28"/>
          <w:szCs w:val="28"/>
        </w:rPr>
      </w:pPr>
      <w:bookmarkStart w:id="2" w:name="_Toc213213539"/>
      <w:r w:rsidRPr="00F14A9B">
        <w:rPr>
          <w:sz w:val="28"/>
          <w:szCs w:val="28"/>
        </w:rPr>
        <w:t xml:space="preserve">Purpose of the </w:t>
      </w:r>
      <w:r>
        <w:rPr>
          <w:sz w:val="28"/>
          <w:szCs w:val="28"/>
        </w:rPr>
        <w:t xml:space="preserve">Research </w:t>
      </w:r>
      <w:r w:rsidRPr="00F14A9B">
        <w:rPr>
          <w:sz w:val="28"/>
          <w:szCs w:val="28"/>
        </w:rPr>
        <w:t>Plan</w:t>
      </w:r>
      <w:bookmarkEnd w:id="2"/>
    </w:p>
    <w:p w14:paraId="0EA84D80" w14:textId="51C4E84D" w:rsidR="00093808" w:rsidRDefault="00093808" w:rsidP="003C7D28">
      <w:r>
        <w:t>The</w:t>
      </w:r>
      <w:r w:rsidRPr="00D11EC9">
        <w:t xml:space="preserve"> Annual Research Plan </w:t>
      </w:r>
      <w:r>
        <w:t>acts as a research roadmap for the coming year’s projects under the GET program</w:t>
      </w:r>
      <w:r w:rsidRPr="00D11EC9">
        <w:t xml:space="preserve">. </w:t>
      </w:r>
      <w:r w:rsidR="00C5052C">
        <w:t xml:space="preserve">It is meant to provide more detailed </w:t>
      </w:r>
      <w:r w:rsidR="001C17E0">
        <w:t xml:space="preserve">GET research direction than the Technology Priority Map (TPM) does.  </w:t>
      </w:r>
      <w:r w:rsidRPr="00D11EC9">
        <w:t xml:space="preserve">The Annual Research Plan is </w:t>
      </w:r>
      <w:r>
        <w:t>used</w:t>
      </w:r>
      <w:r w:rsidRPr="00D11EC9">
        <w:rPr>
          <w:spacing w:val="-7"/>
        </w:rPr>
        <w:t xml:space="preserve"> </w:t>
      </w:r>
      <w:r w:rsidRPr="00D11EC9">
        <w:t>to</w:t>
      </w:r>
      <w:r w:rsidRPr="00D11EC9">
        <w:rPr>
          <w:spacing w:val="-6"/>
        </w:rPr>
        <w:t xml:space="preserve"> </w:t>
      </w:r>
      <w:r w:rsidRPr="00D11EC9">
        <w:t>identify</w:t>
      </w:r>
      <w:r w:rsidRPr="00D11EC9">
        <w:rPr>
          <w:spacing w:val="-6"/>
        </w:rPr>
        <w:t xml:space="preserve"> </w:t>
      </w:r>
      <w:r w:rsidRPr="00D11EC9">
        <w:t>strategic</w:t>
      </w:r>
      <w:r w:rsidRPr="00D11EC9">
        <w:rPr>
          <w:spacing w:val="-6"/>
        </w:rPr>
        <w:t xml:space="preserve"> </w:t>
      </w:r>
      <w:r w:rsidRPr="00D11EC9">
        <w:t>research</w:t>
      </w:r>
      <w:r w:rsidRPr="00D11EC9">
        <w:rPr>
          <w:spacing w:val="-6"/>
        </w:rPr>
        <w:t xml:space="preserve"> </w:t>
      </w:r>
      <w:r w:rsidRPr="00D11EC9">
        <w:t>needs</w:t>
      </w:r>
      <w:r w:rsidRPr="00D11EC9">
        <w:rPr>
          <w:spacing w:val="-7"/>
        </w:rPr>
        <w:t xml:space="preserve"> </w:t>
      </w:r>
      <w:r w:rsidRPr="00D11EC9">
        <w:t>that</w:t>
      </w:r>
      <w:r w:rsidRPr="00D11EC9">
        <w:rPr>
          <w:spacing w:val="-6"/>
        </w:rPr>
        <w:t xml:space="preserve"> </w:t>
      </w:r>
      <w:r w:rsidRPr="00D11EC9">
        <w:t>are</w:t>
      </w:r>
      <w:r w:rsidRPr="00D11EC9">
        <w:rPr>
          <w:spacing w:val="-6"/>
        </w:rPr>
        <w:t xml:space="preserve"> </w:t>
      </w:r>
      <w:r w:rsidRPr="00D11EC9">
        <w:t>appropriate</w:t>
      </w:r>
      <w:r w:rsidRPr="00D11EC9">
        <w:rPr>
          <w:spacing w:val="-6"/>
        </w:rPr>
        <w:t xml:space="preserve"> </w:t>
      </w:r>
      <w:r w:rsidRPr="00D11EC9">
        <w:t>for</w:t>
      </w:r>
      <w:r w:rsidRPr="00D11EC9">
        <w:rPr>
          <w:spacing w:val="-6"/>
        </w:rPr>
        <w:t xml:space="preserve"> </w:t>
      </w:r>
      <w:r>
        <w:t xml:space="preserve">investment by California’s gas utility customers. </w:t>
      </w:r>
      <w:r w:rsidRPr="00D11EC9">
        <w:t xml:space="preserve">The plan identifies key research needs and </w:t>
      </w:r>
      <w:r>
        <w:t xml:space="preserve">solicits </w:t>
      </w:r>
      <w:r>
        <w:lastRenderedPageBreak/>
        <w:t xml:space="preserve">information from </w:t>
      </w:r>
      <w:r w:rsidRPr="00D11EC9">
        <w:t xml:space="preserve">the </w:t>
      </w:r>
      <w:r>
        <w:t>GET Technical Advisory Group (</w:t>
      </w:r>
      <w:r w:rsidRPr="00D11EC9">
        <w:t>TAG</w:t>
      </w:r>
      <w:r>
        <w:t>)</w:t>
      </w:r>
      <w:r w:rsidRPr="00D11EC9">
        <w:t xml:space="preserve"> as guidance </w:t>
      </w:r>
      <w:r>
        <w:t>to ensure the plan has industry involvement</w:t>
      </w:r>
      <w:r w:rsidRPr="00D11EC9">
        <w:t xml:space="preserve">. </w:t>
      </w:r>
      <w:r>
        <w:t>The 202</w:t>
      </w:r>
      <w:r w:rsidR="004515E8">
        <w:t>6</w:t>
      </w:r>
      <w:r>
        <w:t xml:space="preserve"> Plan has </w:t>
      </w:r>
      <w:r w:rsidRPr="00212D43">
        <w:t>f</w:t>
      </w:r>
      <w:r w:rsidRPr="0041184C">
        <w:t>ive</w:t>
      </w:r>
      <w:r w:rsidRPr="00212D43">
        <w:t xml:space="preserve"> overarching goals</w:t>
      </w:r>
      <w:r>
        <w:t xml:space="preserve"> that balance the long-term impacts of the EE Action Plan with the near-term impacts of EE savings potential. Using the plan as a roadmap to guide 202</w:t>
      </w:r>
      <w:r w:rsidR="004515E8">
        <w:t>6</w:t>
      </w:r>
      <w:r>
        <w:t xml:space="preserve"> activities, individual Project Plans will be developed for discrete projects that support each goal area. The goal for the 202</w:t>
      </w:r>
      <w:r w:rsidR="004515E8">
        <w:t>6</w:t>
      </w:r>
      <w:r>
        <w:t xml:space="preserve"> Plan is to initiate </w:t>
      </w:r>
      <w:r w:rsidR="00704A83">
        <w:t xml:space="preserve">nine </w:t>
      </w:r>
      <w:r>
        <w:t>(</w:t>
      </w:r>
      <w:r w:rsidR="007912B8">
        <w:t>9</w:t>
      </w:r>
      <w:r>
        <w:t xml:space="preserve">) emerging technology projects. </w:t>
      </w:r>
    </w:p>
    <w:p w14:paraId="6B0004F4" w14:textId="071CADA9" w:rsidR="00093808" w:rsidRPr="00E3429A" w:rsidRDefault="00093808" w:rsidP="00103C3E">
      <w:pPr>
        <w:pStyle w:val="Heading1"/>
        <w:rPr>
          <w:sz w:val="28"/>
          <w:szCs w:val="28"/>
        </w:rPr>
      </w:pPr>
      <w:bookmarkStart w:id="3" w:name="_Toc213213540"/>
      <w:r w:rsidRPr="00E3429A">
        <w:rPr>
          <w:sz w:val="28"/>
          <w:szCs w:val="28"/>
        </w:rPr>
        <w:t>Development of the Plan</w:t>
      </w:r>
      <w:bookmarkEnd w:id="3"/>
    </w:p>
    <w:p w14:paraId="350B49E8" w14:textId="18F93945" w:rsidR="00E612F6" w:rsidRDefault="00093808" w:rsidP="00F463C6">
      <w:pPr>
        <w:spacing w:after="240"/>
      </w:pPr>
      <w:r>
        <w:t>The 2022 Annual Research Plan was the inaugural plan for the GET Program. The plan was informed by pre-existing information such as the current gas TPMs, the 2020-2021 Research Project Summaries prepared by Utilization Technology Development, NFP</w:t>
      </w:r>
      <w:r>
        <w:rPr>
          <w:rStyle w:val="FootnoteReference"/>
        </w:rPr>
        <w:footnoteReference w:id="11"/>
      </w:r>
      <w:r>
        <w:t xml:space="preserve"> </w:t>
      </w:r>
      <w:r w:rsidR="00C7565D">
        <w:t xml:space="preserve">and input </w:t>
      </w:r>
      <w:r w:rsidR="00007722">
        <w:t>provided by the GET Program team</w:t>
      </w:r>
      <w:r w:rsidR="000A2491">
        <w:t>.</w:t>
      </w:r>
      <w:r w:rsidR="0054730D">
        <w:t xml:space="preserve"> Th</w:t>
      </w:r>
      <w:r w:rsidR="00007722">
        <w:t xml:space="preserve">is information was compared against </w:t>
      </w:r>
      <w:r w:rsidR="008162C9">
        <w:t>California legislative and policy direction</w:t>
      </w:r>
      <w:r w:rsidR="0077119C">
        <w:t xml:space="preserve"> to identify near-term </w:t>
      </w:r>
      <w:r w:rsidR="00733F7D">
        <w:t>technology opportunities that aligned with the state’s climate change agenda.</w:t>
      </w:r>
    </w:p>
    <w:p w14:paraId="0803CDC3" w14:textId="3E7A4D0D" w:rsidR="00127169" w:rsidRDefault="00E612F6" w:rsidP="003C7D28">
      <w:r>
        <w:t xml:space="preserve">The 2023 Annual Research Plan was revised based upon the 2022 research that was </w:t>
      </w:r>
      <w:r w:rsidR="00103C3E">
        <w:t xml:space="preserve">completed or </w:t>
      </w:r>
      <w:r w:rsidR="00906F52">
        <w:t>was</w:t>
      </w:r>
      <w:r w:rsidR="00103C3E">
        <w:t xml:space="preserve"> still in progress and additional input from the TAG and GET Program team over the course of 2022</w:t>
      </w:r>
      <w:r w:rsidR="00C56B3C">
        <w:t xml:space="preserve">. </w:t>
      </w:r>
      <w:r w:rsidR="0054730D">
        <w:t xml:space="preserve"> </w:t>
      </w:r>
    </w:p>
    <w:p w14:paraId="5EFE52C6" w14:textId="77777777" w:rsidR="00B50589" w:rsidRDefault="00B50589" w:rsidP="003C7D28"/>
    <w:p w14:paraId="5AA3CAA2" w14:textId="5FC8DD21" w:rsidR="002D333F" w:rsidRDefault="00B50589" w:rsidP="003C7D28">
      <w:r>
        <w:t xml:space="preserve">The </w:t>
      </w:r>
      <w:r w:rsidR="00986B94">
        <w:t>202</w:t>
      </w:r>
      <w:r w:rsidR="008B0196">
        <w:t>4</w:t>
      </w:r>
      <w:r>
        <w:t xml:space="preserve"> </w:t>
      </w:r>
      <w:r w:rsidR="00700ACC">
        <w:t xml:space="preserve">and 2025 </w:t>
      </w:r>
      <w:r>
        <w:t xml:space="preserve">Annual Research Plan was refined based upon findings from several market studies and further scanning and screening activities in the industrial, agricultural, and cross-cutting sector.  </w:t>
      </w:r>
    </w:p>
    <w:p w14:paraId="54D7324B" w14:textId="77777777" w:rsidR="002D333F" w:rsidRDefault="002D333F" w:rsidP="003C7D28"/>
    <w:p w14:paraId="545D9A8F" w14:textId="0C2A9E4A" w:rsidR="00B50589" w:rsidRDefault="00B93547" w:rsidP="003C7D28">
      <w:r>
        <w:t>Several</w:t>
      </w:r>
      <w:r w:rsidR="001962FA">
        <w:t xml:space="preserve"> </w:t>
      </w:r>
      <w:r w:rsidR="00700ACC">
        <w:t>2025</w:t>
      </w:r>
      <w:r w:rsidR="00FE4A5A">
        <w:t xml:space="preserve"> </w:t>
      </w:r>
      <w:r w:rsidR="001962FA">
        <w:t xml:space="preserve">goals and objectives were </w:t>
      </w:r>
      <w:r w:rsidR="00DB4A79">
        <w:t>removed from</w:t>
      </w:r>
      <w:r w:rsidR="001962FA">
        <w:t xml:space="preserve"> the </w:t>
      </w:r>
      <w:r w:rsidR="00986B94">
        <w:t>202</w:t>
      </w:r>
      <w:r w:rsidR="00700ACC">
        <w:t>6</w:t>
      </w:r>
      <w:r w:rsidR="001962FA">
        <w:t xml:space="preserve"> Annual Research Plan because further </w:t>
      </w:r>
      <w:r w:rsidR="00683D00">
        <w:t>analysis showed specific technologies were not a good fit for the limited GET program funding</w:t>
      </w:r>
      <w:r>
        <w:t xml:space="preserve"> and/or development phase (TRL)</w:t>
      </w:r>
      <w:r w:rsidR="00683D00">
        <w:t xml:space="preserve">.  </w:t>
      </w:r>
      <w:r w:rsidR="0052779F">
        <w:t>Some of these may return in subsequent years</w:t>
      </w:r>
      <w:r w:rsidR="00E45786">
        <w:t xml:space="preserve"> once they are more market ready</w:t>
      </w:r>
      <w:r w:rsidR="0052779F">
        <w:t xml:space="preserve">.  </w:t>
      </w:r>
      <w:r w:rsidR="00683D00">
        <w:t xml:space="preserve">Additionally, many goals </w:t>
      </w:r>
      <w:r w:rsidR="00B100F1">
        <w:t>which were not removed remain the same as in 202</w:t>
      </w:r>
      <w:r w:rsidR="00700ACC">
        <w:t>5</w:t>
      </w:r>
      <w:r w:rsidR="00B100F1">
        <w:t xml:space="preserve"> due to delays in customer recruitment</w:t>
      </w:r>
      <w:r w:rsidR="000E06FB">
        <w:t xml:space="preserve"> and/or contracting</w:t>
      </w:r>
      <w:r w:rsidR="00B100F1">
        <w:t xml:space="preserve"> which delayed field installations.</w:t>
      </w:r>
    </w:p>
    <w:p w14:paraId="3FCD394B" w14:textId="544F45FD" w:rsidR="00127169" w:rsidRPr="00E3429A" w:rsidRDefault="00127169" w:rsidP="00103C3E">
      <w:pPr>
        <w:pStyle w:val="Heading1"/>
        <w:rPr>
          <w:sz w:val="28"/>
          <w:szCs w:val="28"/>
        </w:rPr>
      </w:pPr>
      <w:bookmarkStart w:id="4" w:name="_Toc213213541"/>
      <w:r w:rsidRPr="00E3429A">
        <w:rPr>
          <w:sz w:val="28"/>
          <w:szCs w:val="28"/>
        </w:rPr>
        <w:t>Managing the Plan</w:t>
      </w:r>
      <w:bookmarkEnd w:id="4"/>
    </w:p>
    <w:p w14:paraId="3ADFA2B9" w14:textId="0629E7FE" w:rsidR="00127169" w:rsidRDefault="006F69C2" w:rsidP="003C7D28">
      <w:r>
        <w:t>The Annual Research Plan is a living document that is updated each calendar year</w:t>
      </w:r>
      <w:r w:rsidR="00463136">
        <w:t>.</w:t>
      </w:r>
      <w:r w:rsidR="00192D4D">
        <w:t xml:space="preserve"> </w:t>
      </w:r>
      <w:r w:rsidR="00C9065D">
        <w:t>Typically, t</w:t>
      </w:r>
      <w:r w:rsidR="00192D4D">
        <w:t>he plan is prepared in Q4</w:t>
      </w:r>
      <w:r w:rsidR="00CD167C">
        <w:t xml:space="preserve"> with feedback solicited from the TAG and other stakeholders</w:t>
      </w:r>
      <w:r w:rsidR="00922ECC">
        <w:t>,</w:t>
      </w:r>
      <w:r w:rsidR="00D56266">
        <w:t xml:space="preserve"> and </w:t>
      </w:r>
      <w:r w:rsidR="00922ECC">
        <w:t xml:space="preserve">the final draft is </w:t>
      </w:r>
      <w:r w:rsidR="00D56266">
        <w:t>issued in January</w:t>
      </w:r>
      <w:r w:rsidR="0008505B">
        <w:t xml:space="preserve">. </w:t>
      </w:r>
      <w:r w:rsidR="0007631B">
        <w:t xml:space="preserve">The current version of the plan </w:t>
      </w:r>
      <w:r w:rsidR="00BF1AC7">
        <w:t>(</w:t>
      </w:r>
      <w:r w:rsidR="00986B94">
        <w:t>202</w:t>
      </w:r>
      <w:r w:rsidR="003223A5">
        <w:t>6</w:t>
      </w:r>
      <w:r w:rsidR="00BF1AC7">
        <w:t>)</w:t>
      </w:r>
      <w:r w:rsidR="0007631B">
        <w:t xml:space="preserve"> </w:t>
      </w:r>
      <w:r w:rsidR="00087797">
        <w:t>will be posted</w:t>
      </w:r>
      <w:r w:rsidR="00B80643">
        <w:t xml:space="preserve"> on the </w:t>
      </w:r>
      <w:hyperlink r:id="rId14" w:history="1">
        <w:r w:rsidR="00B80643" w:rsidRPr="34EFCFD3">
          <w:rPr>
            <w:rStyle w:val="Hyperlink"/>
          </w:rPr>
          <w:t>GET program website</w:t>
        </w:r>
      </w:hyperlink>
      <w:r w:rsidR="00AC1D43">
        <w:t>.</w:t>
      </w:r>
    </w:p>
    <w:p w14:paraId="7E09ECF8" w14:textId="2194135B" w:rsidR="00F8480C" w:rsidRPr="00E3429A" w:rsidRDefault="00F8480C" w:rsidP="00103C3E">
      <w:pPr>
        <w:pStyle w:val="Heading1"/>
        <w:rPr>
          <w:sz w:val="28"/>
          <w:szCs w:val="28"/>
        </w:rPr>
      </w:pPr>
      <w:bookmarkStart w:id="5" w:name="_Toc213213542"/>
      <w:r w:rsidRPr="00E3429A">
        <w:rPr>
          <w:sz w:val="28"/>
          <w:szCs w:val="28"/>
        </w:rPr>
        <w:t>202</w:t>
      </w:r>
      <w:r w:rsidR="00245466">
        <w:rPr>
          <w:sz w:val="28"/>
          <w:szCs w:val="28"/>
        </w:rPr>
        <w:t>2</w:t>
      </w:r>
      <w:r w:rsidR="006F49C5">
        <w:rPr>
          <w:sz w:val="28"/>
          <w:szCs w:val="28"/>
        </w:rPr>
        <w:t>-202</w:t>
      </w:r>
      <w:r w:rsidR="00380C33">
        <w:rPr>
          <w:sz w:val="28"/>
          <w:szCs w:val="28"/>
        </w:rPr>
        <w:t>5</w:t>
      </w:r>
      <w:r w:rsidRPr="00E3429A">
        <w:rPr>
          <w:sz w:val="28"/>
          <w:szCs w:val="28"/>
        </w:rPr>
        <w:t xml:space="preserve"> Research</w:t>
      </w:r>
      <w:r w:rsidR="005E2375" w:rsidRPr="00E3429A">
        <w:rPr>
          <w:sz w:val="28"/>
          <w:szCs w:val="28"/>
        </w:rPr>
        <w:t xml:space="preserve"> Outcomes &amp; Findings</w:t>
      </w:r>
      <w:bookmarkEnd w:id="5"/>
    </w:p>
    <w:p w14:paraId="5DD4ED0A" w14:textId="747AD147" w:rsidR="00F8480C" w:rsidRDefault="00AF3921" w:rsidP="00F8480C">
      <w:r>
        <w:t>Between 2022</w:t>
      </w:r>
      <w:r w:rsidR="006F49C5">
        <w:t xml:space="preserve"> and 202</w:t>
      </w:r>
      <w:r w:rsidR="00AC706A">
        <w:t>5</w:t>
      </w:r>
      <w:r w:rsidR="00466802">
        <w:t xml:space="preserve"> (to-date)</w:t>
      </w:r>
      <w:r w:rsidR="00F8480C">
        <w:t>, research was undertaken in the following areas</w:t>
      </w:r>
      <w:r w:rsidR="00651F79">
        <w:t xml:space="preserve"> (this includes completed and active projects)</w:t>
      </w:r>
      <w:r w:rsidR="00A56F28">
        <w:t>:</w:t>
      </w:r>
    </w:p>
    <w:p w14:paraId="4C9677B7" w14:textId="0DBC0EFA" w:rsidR="00F8480C" w:rsidRDefault="0014695E" w:rsidP="00AA34F5">
      <w:pPr>
        <w:pStyle w:val="ListParagraph"/>
        <w:numPr>
          <w:ilvl w:val="0"/>
          <w:numId w:val="5"/>
        </w:numPr>
      </w:pPr>
      <w:r>
        <w:t>Cooking Equipment</w:t>
      </w:r>
      <w:r w:rsidR="00946116">
        <w:t>:</w:t>
      </w:r>
      <w:r w:rsidR="0029289A">
        <w:t xml:space="preserve"> (</w:t>
      </w:r>
      <w:r w:rsidR="00137D19">
        <w:t>4</w:t>
      </w:r>
      <w:r w:rsidR="0029289A">
        <w:t>)</w:t>
      </w:r>
      <w:r w:rsidR="00946116">
        <w:t xml:space="preserve"> project</w:t>
      </w:r>
      <w:r w:rsidR="00AC706A">
        <w:t>s</w:t>
      </w:r>
    </w:p>
    <w:p w14:paraId="790945B6" w14:textId="2EF55326" w:rsidR="0029289A" w:rsidRDefault="00F24050" w:rsidP="00AA34F5">
      <w:pPr>
        <w:pStyle w:val="ListParagraph"/>
        <w:numPr>
          <w:ilvl w:val="0"/>
          <w:numId w:val="5"/>
        </w:numPr>
      </w:pPr>
      <w:r>
        <w:t>HVAC</w:t>
      </w:r>
      <w:r w:rsidR="00946116">
        <w:t>:</w:t>
      </w:r>
      <w:r>
        <w:t xml:space="preserve"> (</w:t>
      </w:r>
      <w:r w:rsidR="00407E39">
        <w:t>3</w:t>
      </w:r>
      <w:r>
        <w:t>)</w:t>
      </w:r>
      <w:r w:rsidR="00946116">
        <w:t xml:space="preserve"> project</w:t>
      </w:r>
      <w:r w:rsidR="00374303">
        <w:t>s</w:t>
      </w:r>
    </w:p>
    <w:p w14:paraId="1E59B660" w14:textId="4E6671B8" w:rsidR="00374303" w:rsidRDefault="0014695E" w:rsidP="00AA34F5">
      <w:pPr>
        <w:pStyle w:val="ListParagraph"/>
        <w:numPr>
          <w:ilvl w:val="0"/>
          <w:numId w:val="5"/>
        </w:numPr>
      </w:pPr>
      <w:r>
        <w:t>Miscellaneous</w:t>
      </w:r>
      <w:r w:rsidR="00374303">
        <w:t>: (</w:t>
      </w:r>
      <w:r w:rsidR="00407E39">
        <w:t>2</w:t>
      </w:r>
      <w:r w:rsidR="00374303">
        <w:t>) project</w:t>
      </w:r>
      <w:r>
        <w:t>s</w:t>
      </w:r>
    </w:p>
    <w:p w14:paraId="76FE5E84" w14:textId="3CC276D3" w:rsidR="00325390" w:rsidRDefault="0014695E" w:rsidP="00AA34F5">
      <w:pPr>
        <w:pStyle w:val="ListParagraph"/>
        <w:numPr>
          <w:ilvl w:val="0"/>
          <w:numId w:val="5"/>
        </w:numPr>
      </w:pPr>
      <w:r>
        <w:t>Process Loads</w:t>
      </w:r>
      <w:r w:rsidR="00946116">
        <w:t>:</w:t>
      </w:r>
      <w:r w:rsidR="0029289A">
        <w:t xml:space="preserve"> (</w:t>
      </w:r>
      <w:r w:rsidR="004E020E">
        <w:t>6</w:t>
      </w:r>
      <w:r w:rsidR="0029289A">
        <w:t>)</w:t>
      </w:r>
      <w:r w:rsidR="00946116">
        <w:t xml:space="preserve"> project</w:t>
      </w:r>
      <w:r w:rsidR="00374303">
        <w:t>s</w:t>
      </w:r>
    </w:p>
    <w:p w14:paraId="2B5D213C" w14:textId="6105490E" w:rsidR="00116C57" w:rsidRDefault="0014695E" w:rsidP="00AA34F5">
      <w:pPr>
        <w:pStyle w:val="ListParagraph"/>
        <w:numPr>
          <w:ilvl w:val="0"/>
          <w:numId w:val="5"/>
        </w:numPr>
      </w:pPr>
      <w:r>
        <w:t>Water Heating</w:t>
      </w:r>
      <w:r w:rsidR="00116C57">
        <w:t>: (</w:t>
      </w:r>
      <w:r w:rsidR="004E020E">
        <w:t>22</w:t>
      </w:r>
      <w:r w:rsidR="00116C57">
        <w:t>) project</w:t>
      </w:r>
      <w:r w:rsidR="00CB0443">
        <w:t>s</w:t>
      </w:r>
    </w:p>
    <w:p w14:paraId="3A87E10A" w14:textId="6EA541AF" w:rsidR="0014695E" w:rsidRDefault="0014695E" w:rsidP="00AA34F5">
      <w:pPr>
        <w:pStyle w:val="ListParagraph"/>
        <w:numPr>
          <w:ilvl w:val="0"/>
          <w:numId w:val="5"/>
        </w:numPr>
      </w:pPr>
      <w:r>
        <w:t>Whole Building: (</w:t>
      </w:r>
      <w:r w:rsidR="001039FB">
        <w:t>7</w:t>
      </w:r>
      <w:r>
        <w:t>) projects</w:t>
      </w:r>
    </w:p>
    <w:p w14:paraId="0364D7E4" w14:textId="77777777" w:rsidR="001D267D" w:rsidRDefault="001D267D" w:rsidP="001D267D"/>
    <w:p w14:paraId="4095B53E" w14:textId="5665948D" w:rsidR="008C1D4B" w:rsidRDefault="001D267D" w:rsidP="008C1D4B">
      <w:r>
        <w:t xml:space="preserve">Final reports </w:t>
      </w:r>
      <w:r w:rsidR="00A56F28">
        <w:t>are</w:t>
      </w:r>
      <w:r>
        <w:t xml:space="preserve"> posted at: </w:t>
      </w:r>
      <w:hyperlink r:id="rId15" w:history="1">
        <w:r>
          <w:rPr>
            <w:rStyle w:val="Hyperlink"/>
          </w:rPr>
          <w:t>Home | Emerging Technologies (ca-etp.com)</w:t>
        </w:r>
      </w:hyperlink>
      <w:r w:rsidR="008C1D4B">
        <w:rPr>
          <w:rStyle w:val="Hyperlink"/>
        </w:rPr>
        <w:t xml:space="preserve">. </w:t>
      </w:r>
      <w:r w:rsidR="008C1D4B">
        <w:t>For further information on these findings, see the final project reports expected in 202</w:t>
      </w:r>
      <w:r w:rsidR="00985CFB">
        <w:t>5</w:t>
      </w:r>
      <w:r w:rsidR="008C1D4B">
        <w:t xml:space="preserve">. These will be posted on </w:t>
      </w:r>
      <w:hyperlink r:id="rId16" w:history="1">
        <w:r w:rsidR="008C1D4B">
          <w:rPr>
            <w:rStyle w:val="Hyperlink"/>
          </w:rPr>
          <w:t>Projects | Emerging Technologies (ca-etp.com)</w:t>
        </w:r>
      </w:hyperlink>
      <w:r w:rsidR="008C1D4B">
        <w:t>.</w:t>
      </w:r>
    </w:p>
    <w:p w14:paraId="5327B3F3" w14:textId="77777777" w:rsidR="006D53E8" w:rsidRDefault="006D53E8" w:rsidP="008C1D4B"/>
    <w:p w14:paraId="471E6B50" w14:textId="587ACA7B" w:rsidR="006D53E8" w:rsidRDefault="006D53E8" w:rsidP="008C1D4B">
      <w:r>
        <w:t xml:space="preserve">One change </w:t>
      </w:r>
      <w:r w:rsidR="00937F10">
        <w:t>made</w:t>
      </w:r>
      <w:r>
        <w:t xml:space="preserve"> for 2025</w:t>
      </w:r>
      <w:r w:rsidR="00937F10">
        <w:t>, which is being carried over into 2026</w:t>
      </w:r>
      <w:r>
        <w:t xml:space="preserve">, is to have more “agile” research projects that are </w:t>
      </w:r>
      <w:r w:rsidR="0033401A">
        <w:t>short paper studies to evaluate the potential for specific technologies and/or approaches</w:t>
      </w:r>
      <w:r w:rsidR="00F615FF">
        <w:t xml:space="preserve"> before we launch broader projects</w:t>
      </w:r>
      <w:r w:rsidR="0008271C">
        <w:t xml:space="preserve"> to quantify them</w:t>
      </w:r>
      <w:r w:rsidR="0033401A">
        <w:t xml:space="preserve">.    </w:t>
      </w:r>
      <w:r w:rsidR="00352971">
        <w:t xml:space="preserve">We also will leverage “agile” projects for minor </w:t>
      </w:r>
      <w:r w:rsidR="005D1C70">
        <w:t>extensions</w:t>
      </w:r>
      <w:r w:rsidR="00352971">
        <w:t xml:space="preserve"> to existing projects, that don’t require a large update.  </w:t>
      </w:r>
      <w:r w:rsidR="0033401A">
        <w:t>In many cases, these research topics may not be know</w:t>
      </w:r>
      <w:r w:rsidR="00F615FF">
        <w:t>n</w:t>
      </w:r>
      <w:r w:rsidR="0033401A">
        <w:t xml:space="preserve"> ahead of time, although where </w:t>
      </w:r>
      <w:r w:rsidR="00F615FF">
        <w:t>known</w:t>
      </w:r>
      <w:r w:rsidR="0033401A">
        <w:t>, we plan to include them here</w:t>
      </w:r>
      <w:r w:rsidR="0008271C">
        <w:t>.</w:t>
      </w:r>
    </w:p>
    <w:p w14:paraId="5D4DDC57" w14:textId="4A56D52D" w:rsidR="001D267D" w:rsidRDefault="001D267D" w:rsidP="001D267D"/>
    <w:p w14:paraId="0145911F" w14:textId="4515934C" w:rsidR="00F21A8C" w:rsidRPr="00046671" w:rsidRDefault="00986B94" w:rsidP="00103C3E">
      <w:pPr>
        <w:pStyle w:val="Heading1"/>
        <w:rPr>
          <w:sz w:val="28"/>
          <w:szCs w:val="28"/>
        </w:rPr>
      </w:pPr>
      <w:bookmarkStart w:id="6" w:name="_Toc213213543"/>
      <w:r>
        <w:rPr>
          <w:sz w:val="28"/>
          <w:szCs w:val="28"/>
        </w:rPr>
        <w:t>202</w:t>
      </w:r>
      <w:r w:rsidR="00937F10">
        <w:rPr>
          <w:sz w:val="28"/>
          <w:szCs w:val="28"/>
        </w:rPr>
        <w:t>6</w:t>
      </w:r>
      <w:r w:rsidR="004007CA" w:rsidRPr="00046671">
        <w:rPr>
          <w:sz w:val="28"/>
          <w:szCs w:val="28"/>
        </w:rPr>
        <w:t xml:space="preserve"> Research Goals</w:t>
      </w:r>
      <w:bookmarkEnd w:id="6"/>
    </w:p>
    <w:p w14:paraId="6237EA6A" w14:textId="1BA5CA2D" w:rsidR="00F274C9" w:rsidRDefault="00601AA8" w:rsidP="00F274C9">
      <w:r>
        <w:t xml:space="preserve">The </w:t>
      </w:r>
      <w:r w:rsidR="00986B94">
        <w:t>202</w:t>
      </w:r>
      <w:r w:rsidR="00937F10">
        <w:t>6</w:t>
      </w:r>
      <w:r>
        <w:t xml:space="preserve"> Annual Research plan includes</w:t>
      </w:r>
      <w:r w:rsidR="00E0642E">
        <w:t xml:space="preserve"> new and ongoing</w:t>
      </w:r>
      <w:r>
        <w:t xml:space="preserve"> research into </w:t>
      </w:r>
      <w:r w:rsidR="00FD4F74">
        <w:t xml:space="preserve">the following </w:t>
      </w:r>
      <w:r w:rsidR="0080307C">
        <w:t xml:space="preserve">technology </w:t>
      </w:r>
      <w:r w:rsidR="00FD4F74">
        <w:t xml:space="preserve">areas: </w:t>
      </w:r>
      <w:r w:rsidR="001166A3">
        <w:t>water heating,</w:t>
      </w:r>
      <w:r w:rsidR="003D3566">
        <w:t xml:space="preserve"> </w:t>
      </w:r>
      <w:r w:rsidR="00E0642E">
        <w:t xml:space="preserve">HVAC, </w:t>
      </w:r>
      <w:r w:rsidR="001A2DB8">
        <w:t>foodservice, industrial</w:t>
      </w:r>
      <w:r w:rsidR="00050270">
        <w:t>/agriculture</w:t>
      </w:r>
      <w:r w:rsidR="00EF59ED">
        <w:t xml:space="preserve"> process</w:t>
      </w:r>
      <w:r w:rsidR="001A2DB8">
        <w:t>, and cross-cutting</w:t>
      </w:r>
      <w:r w:rsidR="00852B08">
        <w:t xml:space="preserve"> equipment</w:t>
      </w:r>
      <w:r w:rsidR="00C56B3C">
        <w:t xml:space="preserve">. </w:t>
      </w:r>
      <w:r w:rsidR="00F911DE">
        <w:t xml:space="preserve"> </w:t>
      </w:r>
      <w:r w:rsidR="003D3566">
        <w:t xml:space="preserve">  </w:t>
      </w:r>
    </w:p>
    <w:p w14:paraId="5677F518" w14:textId="00B8CC67" w:rsidR="005135D3" w:rsidRDefault="005135D3" w:rsidP="0062350E">
      <w:pPr>
        <w:rPr>
          <w:rFonts w:ascii="Arial" w:hAnsi="Arial" w:cs="Arial"/>
          <w:b/>
          <w:bCs/>
        </w:rPr>
      </w:pPr>
    </w:p>
    <w:p w14:paraId="4E6383B8" w14:textId="40F0C1F7" w:rsidR="00DF04AD" w:rsidRPr="0041184C" w:rsidRDefault="00DF04AD" w:rsidP="00AA34F5">
      <w:pPr>
        <w:pStyle w:val="Heading2"/>
        <w:numPr>
          <w:ilvl w:val="0"/>
          <w:numId w:val="24"/>
        </w:numPr>
        <w:rPr>
          <w:u w:val="none"/>
        </w:rPr>
      </w:pPr>
      <w:bookmarkStart w:id="7" w:name="_Toc213213544"/>
      <w:r w:rsidRPr="0041184C">
        <w:rPr>
          <w:u w:val="none"/>
        </w:rPr>
        <w:t>Water Heating Technologies</w:t>
      </w:r>
      <w:bookmarkEnd w:id="7"/>
    </w:p>
    <w:p w14:paraId="460E2CD6" w14:textId="68F14586" w:rsidR="00473D49" w:rsidRDefault="00D24366" w:rsidP="0062248C">
      <w:pPr>
        <w:spacing w:after="240"/>
        <w:rPr>
          <w:rFonts w:asciiTheme="minorHAnsi" w:hAnsiTheme="minorHAnsi" w:cstheme="minorHAnsi"/>
          <w:bCs/>
        </w:rPr>
      </w:pPr>
      <w:r>
        <w:rPr>
          <w:rFonts w:asciiTheme="minorHAnsi" w:hAnsiTheme="minorHAnsi" w:cstheme="minorHAnsi"/>
          <w:bCs/>
        </w:rPr>
        <w:t>Goal 1 and 2 from the 2022</w:t>
      </w:r>
      <w:r w:rsidR="00EE5A83">
        <w:rPr>
          <w:rFonts w:asciiTheme="minorHAnsi" w:hAnsiTheme="minorHAnsi" w:cstheme="minorHAnsi"/>
          <w:bCs/>
        </w:rPr>
        <w:t xml:space="preserve"> and 2023</w:t>
      </w:r>
      <w:r>
        <w:rPr>
          <w:rFonts w:asciiTheme="minorHAnsi" w:hAnsiTheme="minorHAnsi" w:cstheme="minorHAnsi"/>
          <w:bCs/>
        </w:rPr>
        <w:t xml:space="preserve"> Research Plan</w:t>
      </w:r>
      <w:r w:rsidR="00EE5A83">
        <w:rPr>
          <w:rFonts w:asciiTheme="minorHAnsi" w:hAnsiTheme="minorHAnsi" w:cstheme="minorHAnsi"/>
          <w:bCs/>
        </w:rPr>
        <w:t>s</w:t>
      </w:r>
      <w:r>
        <w:rPr>
          <w:rFonts w:asciiTheme="minorHAnsi" w:hAnsiTheme="minorHAnsi" w:cstheme="minorHAnsi"/>
          <w:bCs/>
        </w:rPr>
        <w:t xml:space="preserve"> were both for water heating technologies</w:t>
      </w:r>
      <w:r w:rsidR="00C56B3C">
        <w:rPr>
          <w:rFonts w:asciiTheme="minorHAnsi" w:hAnsiTheme="minorHAnsi" w:cstheme="minorHAnsi"/>
          <w:bCs/>
        </w:rPr>
        <w:t xml:space="preserve">. </w:t>
      </w:r>
      <w:r w:rsidR="008E58F5">
        <w:rPr>
          <w:rFonts w:asciiTheme="minorHAnsi" w:hAnsiTheme="minorHAnsi" w:cstheme="minorHAnsi"/>
          <w:bCs/>
        </w:rPr>
        <w:t>The 2022</w:t>
      </w:r>
      <w:r w:rsidR="00AE7948">
        <w:rPr>
          <w:rFonts w:asciiTheme="minorHAnsi" w:hAnsiTheme="minorHAnsi" w:cstheme="minorHAnsi"/>
          <w:bCs/>
        </w:rPr>
        <w:t xml:space="preserve"> and </w:t>
      </w:r>
      <w:r w:rsidR="00EE5A83">
        <w:rPr>
          <w:rFonts w:asciiTheme="minorHAnsi" w:hAnsiTheme="minorHAnsi" w:cstheme="minorHAnsi"/>
          <w:bCs/>
        </w:rPr>
        <w:t>2023</w:t>
      </w:r>
      <w:r w:rsidR="008E58F5">
        <w:rPr>
          <w:rFonts w:asciiTheme="minorHAnsi" w:hAnsiTheme="minorHAnsi" w:cstheme="minorHAnsi"/>
          <w:bCs/>
        </w:rPr>
        <w:t xml:space="preserve"> research yielded extensive information on the gaps in </w:t>
      </w:r>
      <w:r w:rsidR="00351BD4">
        <w:rPr>
          <w:rFonts w:asciiTheme="minorHAnsi" w:hAnsiTheme="minorHAnsi" w:cstheme="minorHAnsi"/>
          <w:bCs/>
        </w:rPr>
        <w:t>existing and emerging technologies as well as the readiness of the emerging technologies</w:t>
      </w:r>
      <w:r w:rsidR="00C56B3C">
        <w:rPr>
          <w:rFonts w:asciiTheme="minorHAnsi" w:hAnsiTheme="minorHAnsi" w:cstheme="minorHAnsi"/>
          <w:bCs/>
        </w:rPr>
        <w:t xml:space="preserve">. </w:t>
      </w:r>
    </w:p>
    <w:p w14:paraId="3EA8378B" w14:textId="054FEB68" w:rsidR="00172DF7" w:rsidRDefault="00016994">
      <w:pPr>
        <w:rPr>
          <w:rFonts w:asciiTheme="minorHAnsi" w:hAnsiTheme="minorHAnsi" w:cstheme="minorHAnsi"/>
          <w:bCs/>
        </w:rPr>
      </w:pPr>
      <w:r>
        <w:rPr>
          <w:rFonts w:asciiTheme="minorHAnsi" w:hAnsiTheme="minorHAnsi" w:cstheme="minorHAnsi"/>
          <w:bCs/>
        </w:rPr>
        <w:t>Work on the 202</w:t>
      </w:r>
      <w:r w:rsidR="00937F10">
        <w:rPr>
          <w:rFonts w:asciiTheme="minorHAnsi" w:hAnsiTheme="minorHAnsi" w:cstheme="minorHAnsi"/>
          <w:bCs/>
        </w:rPr>
        <w:t>5</w:t>
      </w:r>
      <w:r>
        <w:rPr>
          <w:rFonts w:asciiTheme="minorHAnsi" w:hAnsiTheme="minorHAnsi" w:cstheme="minorHAnsi"/>
          <w:bCs/>
        </w:rPr>
        <w:t xml:space="preserve"> goals has continued and t</w:t>
      </w:r>
      <w:r w:rsidR="00AB7613">
        <w:rPr>
          <w:rFonts w:asciiTheme="minorHAnsi" w:hAnsiTheme="minorHAnsi" w:cstheme="minorHAnsi"/>
          <w:bCs/>
        </w:rPr>
        <w:t xml:space="preserve">he </w:t>
      </w:r>
      <w:r w:rsidR="00986B94">
        <w:rPr>
          <w:rFonts w:asciiTheme="minorHAnsi" w:hAnsiTheme="minorHAnsi" w:cstheme="minorHAnsi"/>
          <w:bCs/>
        </w:rPr>
        <w:t>202</w:t>
      </w:r>
      <w:r w:rsidR="00937F10">
        <w:rPr>
          <w:rFonts w:asciiTheme="minorHAnsi" w:hAnsiTheme="minorHAnsi" w:cstheme="minorHAnsi"/>
          <w:bCs/>
        </w:rPr>
        <w:t>6</w:t>
      </w:r>
      <w:r w:rsidR="00473D49">
        <w:rPr>
          <w:rFonts w:asciiTheme="minorHAnsi" w:hAnsiTheme="minorHAnsi" w:cstheme="minorHAnsi"/>
          <w:bCs/>
        </w:rPr>
        <w:t xml:space="preserve"> </w:t>
      </w:r>
      <w:r w:rsidR="00C677FB">
        <w:rPr>
          <w:rFonts w:asciiTheme="minorHAnsi" w:hAnsiTheme="minorHAnsi" w:cstheme="minorHAnsi"/>
          <w:bCs/>
        </w:rPr>
        <w:t>goals</w:t>
      </w:r>
      <w:r w:rsidR="00AB7613">
        <w:rPr>
          <w:rFonts w:asciiTheme="minorHAnsi" w:hAnsiTheme="minorHAnsi" w:cstheme="minorHAnsi"/>
          <w:bCs/>
        </w:rPr>
        <w:t xml:space="preserve"> for this </w:t>
      </w:r>
      <w:r w:rsidR="00C5300B">
        <w:rPr>
          <w:rFonts w:asciiTheme="minorHAnsi" w:hAnsiTheme="minorHAnsi" w:cstheme="minorHAnsi"/>
          <w:bCs/>
        </w:rPr>
        <w:t xml:space="preserve">technology </w:t>
      </w:r>
      <w:r w:rsidR="00C677FB">
        <w:rPr>
          <w:rFonts w:asciiTheme="minorHAnsi" w:hAnsiTheme="minorHAnsi" w:cstheme="minorHAnsi"/>
          <w:bCs/>
        </w:rPr>
        <w:t xml:space="preserve">area </w:t>
      </w:r>
      <w:r w:rsidR="0049143C">
        <w:rPr>
          <w:rFonts w:asciiTheme="minorHAnsi" w:hAnsiTheme="minorHAnsi" w:cstheme="minorHAnsi"/>
          <w:bCs/>
        </w:rPr>
        <w:t>remain the same</w:t>
      </w:r>
      <w:r w:rsidR="00C56B3C">
        <w:rPr>
          <w:rFonts w:asciiTheme="minorHAnsi" w:hAnsiTheme="minorHAnsi" w:cstheme="minorHAnsi"/>
          <w:bCs/>
        </w:rPr>
        <w:t xml:space="preserve">. </w:t>
      </w:r>
      <w:r w:rsidR="00C52A60">
        <w:rPr>
          <w:rFonts w:asciiTheme="minorHAnsi" w:hAnsiTheme="minorHAnsi" w:cstheme="minorHAnsi"/>
          <w:bCs/>
        </w:rPr>
        <w:t>The goals are separate</w:t>
      </w:r>
      <w:r w:rsidR="00855954">
        <w:rPr>
          <w:rFonts w:asciiTheme="minorHAnsi" w:hAnsiTheme="minorHAnsi" w:cstheme="minorHAnsi"/>
          <w:bCs/>
        </w:rPr>
        <w:t>d</w:t>
      </w:r>
      <w:r w:rsidR="00C52A60">
        <w:rPr>
          <w:rFonts w:asciiTheme="minorHAnsi" w:hAnsiTheme="minorHAnsi" w:cstheme="minorHAnsi"/>
          <w:bCs/>
        </w:rPr>
        <w:t xml:space="preserve"> because </w:t>
      </w:r>
      <w:r w:rsidR="00FE0DAD">
        <w:rPr>
          <w:rFonts w:asciiTheme="minorHAnsi" w:hAnsiTheme="minorHAnsi" w:cstheme="minorHAnsi"/>
          <w:bCs/>
        </w:rPr>
        <w:t xml:space="preserve">the objectives and outcomes for </w:t>
      </w:r>
      <w:r w:rsidR="00260E16">
        <w:rPr>
          <w:rFonts w:asciiTheme="minorHAnsi" w:hAnsiTheme="minorHAnsi" w:cstheme="minorHAnsi"/>
          <w:bCs/>
        </w:rPr>
        <w:t xml:space="preserve">underutilized </w:t>
      </w:r>
      <w:r w:rsidR="00FE0DAD">
        <w:rPr>
          <w:rFonts w:asciiTheme="minorHAnsi" w:hAnsiTheme="minorHAnsi" w:cstheme="minorHAnsi"/>
          <w:bCs/>
        </w:rPr>
        <w:t xml:space="preserve">existing </w:t>
      </w:r>
      <w:r w:rsidR="00DF36FE">
        <w:rPr>
          <w:rFonts w:asciiTheme="minorHAnsi" w:hAnsiTheme="minorHAnsi" w:cstheme="minorHAnsi"/>
          <w:bCs/>
        </w:rPr>
        <w:t xml:space="preserve">technologies </w:t>
      </w:r>
      <w:r w:rsidR="00EA7ED3">
        <w:rPr>
          <w:rFonts w:asciiTheme="minorHAnsi" w:hAnsiTheme="minorHAnsi" w:cstheme="minorHAnsi"/>
          <w:bCs/>
        </w:rPr>
        <w:t xml:space="preserve">(Goal 1) </w:t>
      </w:r>
      <w:r w:rsidR="00FE0DAD">
        <w:rPr>
          <w:rFonts w:asciiTheme="minorHAnsi" w:hAnsiTheme="minorHAnsi" w:cstheme="minorHAnsi"/>
          <w:bCs/>
        </w:rPr>
        <w:t>v</w:t>
      </w:r>
      <w:r w:rsidR="00DF36FE">
        <w:rPr>
          <w:rFonts w:asciiTheme="minorHAnsi" w:hAnsiTheme="minorHAnsi" w:cstheme="minorHAnsi"/>
          <w:bCs/>
        </w:rPr>
        <w:t>ersus</w:t>
      </w:r>
      <w:r w:rsidR="00FE0DAD">
        <w:rPr>
          <w:rFonts w:asciiTheme="minorHAnsi" w:hAnsiTheme="minorHAnsi" w:cstheme="minorHAnsi"/>
          <w:bCs/>
        </w:rPr>
        <w:t xml:space="preserve"> emerging technologies </w:t>
      </w:r>
      <w:r w:rsidR="00FD7AFE">
        <w:rPr>
          <w:rFonts w:asciiTheme="minorHAnsi" w:hAnsiTheme="minorHAnsi" w:cstheme="minorHAnsi"/>
          <w:bCs/>
        </w:rPr>
        <w:t>(Goal 2, Goal 3</w:t>
      </w:r>
      <w:r w:rsidR="00146FD5">
        <w:rPr>
          <w:rFonts w:asciiTheme="minorHAnsi" w:hAnsiTheme="minorHAnsi" w:cstheme="minorHAnsi"/>
          <w:bCs/>
        </w:rPr>
        <w:t>, Goal 4</w:t>
      </w:r>
      <w:r w:rsidR="00725B88">
        <w:rPr>
          <w:rFonts w:asciiTheme="minorHAnsi" w:hAnsiTheme="minorHAnsi" w:cstheme="minorHAnsi"/>
          <w:bCs/>
        </w:rPr>
        <w:t>, and Goal 5</w:t>
      </w:r>
      <w:r w:rsidR="00FD7AFE">
        <w:rPr>
          <w:rFonts w:asciiTheme="minorHAnsi" w:hAnsiTheme="minorHAnsi" w:cstheme="minorHAnsi"/>
          <w:bCs/>
        </w:rPr>
        <w:t xml:space="preserve">) </w:t>
      </w:r>
      <w:r w:rsidR="00FE0DAD">
        <w:rPr>
          <w:rFonts w:asciiTheme="minorHAnsi" w:hAnsiTheme="minorHAnsi" w:cstheme="minorHAnsi"/>
          <w:bCs/>
        </w:rPr>
        <w:t>are very different</w:t>
      </w:r>
      <w:r w:rsidR="00C56B3C">
        <w:rPr>
          <w:rFonts w:asciiTheme="minorHAnsi" w:hAnsiTheme="minorHAnsi" w:cstheme="minorHAnsi"/>
          <w:bCs/>
        </w:rPr>
        <w:t xml:space="preserve">. </w:t>
      </w:r>
      <w:r w:rsidR="00C677FB">
        <w:rPr>
          <w:rFonts w:asciiTheme="minorHAnsi" w:hAnsiTheme="minorHAnsi" w:cstheme="minorHAnsi"/>
          <w:bCs/>
        </w:rPr>
        <w:t xml:space="preserve"> </w:t>
      </w:r>
    </w:p>
    <w:p w14:paraId="7E73D19F" w14:textId="77777777" w:rsidR="006E2557" w:rsidRDefault="006E2557" w:rsidP="009C01DD"/>
    <w:p w14:paraId="6B4C8183" w14:textId="41960A9C" w:rsidR="004F1FE5" w:rsidRPr="00F164C9" w:rsidRDefault="0021067B" w:rsidP="00541AD4">
      <w:pPr>
        <w:pStyle w:val="Heading3"/>
      </w:pPr>
      <w:bookmarkStart w:id="8" w:name="_Toc213213545"/>
      <w:r w:rsidRPr="00F164C9">
        <w:t>Goal</w:t>
      </w:r>
      <w:r w:rsidR="009E1C83" w:rsidRPr="00F164C9">
        <w:t xml:space="preserve"> 1</w:t>
      </w:r>
      <w:r w:rsidR="008B09DE">
        <w:t>.1</w:t>
      </w:r>
      <w:r w:rsidR="009E1C83" w:rsidRPr="00F164C9">
        <w:t xml:space="preserve">: </w:t>
      </w:r>
      <w:r w:rsidR="00B83D09" w:rsidRPr="00F164C9">
        <w:t>Improv</w:t>
      </w:r>
      <w:r w:rsidR="00F164C9">
        <w:t>e</w:t>
      </w:r>
      <w:r w:rsidR="000014A7" w:rsidRPr="00F164C9">
        <w:t xml:space="preserve"> adoption of </w:t>
      </w:r>
      <w:r w:rsidR="00FF1521" w:rsidRPr="00F164C9">
        <w:t>existing water heating technologies</w:t>
      </w:r>
      <w:r w:rsidR="00F110E7" w:rsidRPr="00F164C9">
        <w:t xml:space="preserve"> in multiple market segments</w:t>
      </w:r>
      <w:bookmarkEnd w:id="8"/>
    </w:p>
    <w:p w14:paraId="7B98A3FF" w14:textId="6FD58357" w:rsidR="004E4F85" w:rsidRDefault="00532DF2" w:rsidP="0062248C">
      <w:pPr>
        <w:spacing w:after="240"/>
      </w:pPr>
      <w:r>
        <w:t xml:space="preserve">There are </w:t>
      </w:r>
      <w:r w:rsidR="00B04831">
        <w:t>several</w:t>
      </w:r>
      <w:r>
        <w:t xml:space="preserve"> existing water heating technologies offered in EE programs which have historically seen low participation</w:t>
      </w:r>
      <w:r w:rsidR="00E763C6">
        <w:t>, and there are some measure offerings that have</w:t>
      </w:r>
      <w:r w:rsidR="00B63833">
        <w:t xml:space="preserve"> </w:t>
      </w:r>
      <w:r w:rsidR="00973348">
        <w:t xml:space="preserve">potential </w:t>
      </w:r>
      <w:r w:rsidR="00E763C6">
        <w:t xml:space="preserve">gaps in </w:t>
      </w:r>
      <w:r w:rsidR="00973348">
        <w:t>energy impacts</w:t>
      </w:r>
      <w:r w:rsidR="00E763C6">
        <w:t>.</w:t>
      </w:r>
      <w:r w:rsidR="004F79A8">
        <w:t xml:space="preserve"> One specific gap is the </w:t>
      </w:r>
      <w:r w:rsidR="009356DB">
        <w:t xml:space="preserve">lack of </w:t>
      </w:r>
      <w:r w:rsidR="00D6350C">
        <w:t>gas</w:t>
      </w:r>
      <w:r w:rsidR="009356DB">
        <w:t xml:space="preserve"> savings for the measure SWWH022: Smart Pump, Residential</w:t>
      </w:r>
      <w:r w:rsidR="00C56B3C">
        <w:t xml:space="preserve">. </w:t>
      </w:r>
      <w:r w:rsidR="007649A7">
        <w:t>Additionally, t</w:t>
      </w:r>
      <w:r w:rsidR="006B03AF">
        <w:t>he GET Team experienced many delays in customer recruitment to achieve the objectives in Goal 1</w:t>
      </w:r>
      <w:r w:rsidR="000E4B63">
        <w:t xml:space="preserve">, so this goal and its objective remains in </w:t>
      </w:r>
      <w:r w:rsidR="00986B94">
        <w:t>2025</w:t>
      </w:r>
      <w:r w:rsidR="000E4B63">
        <w:t xml:space="preserve"> the same as it was in 202</w:t>
      </w:r>
      <w:r w:rsidR="00E13ED7">
        <w:t>4</w:t>
      </w:r>
      <w:r w:rsidR="000E4B63">
        <w:t>.</w:t>
      </w:r>
      <w:r w:rsidR="00C56B3C">
        <w:t xml:space="preserve"> </w:t>
      </w:r>
      <w:r w:rsidR="00667B3D">
        <w:t xml:space="preserve"> </w:t>
      </w:r>
    </w:p>
    <w:p w14:paraId="78BB2C36" w14:textId="7700FA8B" w:rsidR="00A83A5B" w:rsidRPr="00B42D15" w:rsidRDefault="000F09C1" w:rsidP="0062248C">
      <w:pPr>
        <w:pStyle w:val="Heading4"/>
        <w:spacing w:after="240"/>
      </w:pPr>
      <w:r w:rsidRPr="00B42D15">
        <w:t>Objectives</w:t>
      </w:r>
    </w:p>
    <w:p w14:paraId="6466CE6A" w14:textId="5FFE7C70" w:rsidR="00C748D4" w:rsidRDefault="00C748D4" w:rsidP="00AA34F5">
      <w:pPr>
        <w:pStyle w:val="ListParagraph"/>
        <w:numPr>
          <w:ilvl w:val="0"/>
          <w:numId w:val="7"/>
        </w:numPr>
      </w:pPr>
      <w:r>
        <w:t xml:space="preserve">Perform field studies of existing water heating </w:t>
      </w:r>
      <w:r w:rsidR="008722A0">
        <w:t xml:space="preserve">EE offerings in the multifamily sector where there is a </w:t>
      </w:r>
      <w:r w:rsidR="00E32CE9">
        <w:t xml:space="preserve">data </w:t>
      </w:r>
      <w:r w:rsidR="008722A0">
        <w:t xml:space="preserve">gap for </w:t>
      </w:r>
      <w:r w:rsidR="00E32CE9">
        <w:t>being able to claim</w:t>
      </w:r>
      <w:r w:rsidR="008722A0">
        <w:t xml:space="preserve"> </w:t>
      </w:r>
      <w:r w:rsidR="007649A7">
        <w:t>gas</w:t>
      </w:r>
      <w:r w:rsidR="008722A0">
        <w:t xml:space="preserve"> savings</w:t>
      </w:r>
      <w:r w:rsidR="00B97079">
        <w:t xml:space="preserve"> for controls measures</w:t>
      </w:r>
      <w:r w:rsidR="007649A7">
        <w:t xml:space="preserve"> (e.g.</w:t>
      </w:r>
      <w:r w:rsidR="00AC3E54">
        <w:t>,</w:t>
      </w:r>
      <w:r w:rsidR="007649A7">
        <w:t xml:space="preserve"> Smart Pump)</w:t>
      </w:r>
    </w:p>
    <w:p w14:paraId="1FC3A166" w14:textId="195A006C" w:rsidR="00845788" w:rsidRDefault="00845788" w:rsidP="0041184C"/>
    <w:p w14:paraId="5E7C9799" w14:textId="619D0ECE" w:rsidR="007F66A9" w:rsidRDefault="00EE2A62" w:rsidP="00541AD4">
      <w:pPr>
        <w:pStyle w:val="Heading3"/>
      </w:pPr>
      <w:bookmarkStart w:id="9" w:name="_Toc213213546"/>
      <w:r>
        <w:t xml:space="preserve">Goal </w:t>
      </w:r>
      <w:r w:rsidR="00CA29EE">
        <w:t>1.</w:t>
      </w:r>
      <w:r>
        <w:t xml:space="preserve">2: </w:t>
      </w:r>
      <w:r w:rsidR="00A64E0D">
        <w:t xml:space="preserve">Provide </w:t>
      </w:r>
      <w:r w:rsidR="008F2AC0">
        <w:t>d</w:t>
      </w:r>
      <w:r w:rsidR="00A64E0D">
        <w:t>ata for updated and new measure offerings of emerging water heating technologies</w:t>
      </w:r>
      <w:bookmarkEnd w:id="9"/>
    </w:p>
    <w:p w14:paraId="5141F04A" w14:textId="7E9EB28B" w:rsidR="00A64E0D" w:rsidRDefault="00F76318" w:rsidP="0062248C">
      <w:pPr>
        <w:spacing w:after="240"/>
      </w:pPr>
      <w:r>
        <w:t>The water heating technologies that ha</w:t>
      </w:r>
      <w:r w:rsidR="00C558B5">
        <w:t>d</w:t>
      </w:r>
      <w:r>
        <w:t xml:space="preserve"> been selected for further </w:t>
      </w:r>
      <w:r w:rsidR="00212D2F">
        <w:t xml:space="preserve">investigation </w:t>
      </w:r>
      <w:r w:rsidR="00C558B5">
        <w:t>in 2022 were</w:t>
      </w:r>
      <w:r>
        <w:t>:</w:t>
      </w:r>
    </w:p>
    <w:p w14:paraId="2EF42B37" w14:textId="77777777" w:rsidR="00F76318" w:rsidRDefault="00F76318" w:rsidP="00AA34F5">
      <w:pPr>
        <w:pStyle w:val="ListParagraph"/>
        <w:numPr>
          <w:ilvl w:val="0"/>
          <w:numId w:val="21"/>
        </w:numPr>
      </w:pPr>
      <w:r>
        <w:t>Gas-Fired Absorption Heat Pump Water Heater &amp; Combi</w:t>
      </w:r>
    </w:p>
    <w:p w14:paraId="682AB505" w14:textId="77777777" w:rsidR="00F76318" w:rsidRDefault="00F76318" w:rsidP="00AA34F5">
      <w:pPr>
        <w:pStyle w:val="ListParagraph"/>
        <w:numPr>
          <w:ilvl w:val="0"/>
          <w:numId w:val="21"/>
        </w:numPr>
      </w:pPr>
      <w:r>
        <w:t>Gas-Fired Adsorption Heat Pump Water Heater</w:t>
      </w:r>
    </w:p>
    <w:p w14:paraId="496F6B11" w14:textId="17FA4DD7" w:rsidR="00F76318" w:rsidRDefault="00F76318" w:rsidP="00AA34F5">
      <w:pPr>
        <w:pStyle w:val="ListParagraph"/>
        <w:numPr>
          <w:ilvl w:val="0"/>
          <w:numId w:val="21"/>
        </w:numPr>
        <w:spacing w:after="240"/>
      </w:pPr>
      <w:r>
        <w:t>Gas-Fired Thermal Compression Heat Pump Water Heater &amp; Combi</w:t>
      </w:r>
    </w:p>
    <w:p w14:paraId="4C2AF722" w14:textId="77777777" w:rsidR="0016273F" w:rsidRDefault="00656F03" w:rsidP="0004498B">
      <w:pPr>
        <w:spacing w:after="240"/>
      </w:pPr>
      <w:r>
        <w:t xml:space="preserve">In 2022, </w:t>
      </w:r>
      <w:r w:rsidR="0004498B">
        <w:t xml:space="preserve">The manufacturers for the Gas-Fired Adsorption Heat Pump Water Heater and Thermal Compression Heat Pump Water Heater &amp; Combi </w:t>
      </w:r>
      <w:r w:rsidR="00D14AE6">
        <w:t xml:space="preserve">were working with other entities to </w:t>
      </w:r>
      <w:r w:rsidR="00AC185B">
        <w:t xml:space="preserve">develop, </w:t>
      </w:r>
      <w:r w:rsidR="00D14AE6">
        <w:t>test and study their equipment.</w:t>
      </w:r>
      <w:r w:rsidR="002A4159">
        <w:t xml:space="preserve"> It was determined in 2023 by the GET Team that the GET program will</w:t>
      </w:r>
      <w:r w:rsidR="006425CF">
        <w:t xml:space="preserve"> remain appraised of developments with these two </w:t>
      </w:r>
      <w:r w:rsidR="006A0D2A">
        <w:t>technologies but</w:t>
      </w:r>
      <w:r w:rsidR="006425CF">
        <w:t xml:space="preserve"> w</w:t>
      </w:r>
      <w:r w:rsidR="002E01BB">
        <w:t>ould</w:t>
      </w:r>
      <w:r w:rsidR="006425CF">
        <w:t xml:space="preserve"> not move forward with testing at th</w:t>
      </w:r>
      <w:r w:rsidR="002E01BB">
        <w:t>at</w:t>
      </w:r>
      <w:r w:rsidR="006425CF">
        <w:t xml:space="preserve"> time</w:t>
      </w:r>
      <w:r w:rsidR="00CE6C07">
        <w:t xml:space="preserve"> as it could be redundant to testing being done by other organizations</w:t>
      </w:r>
      <w:r w:rsidR="00AC185B">
        <w:t xml:space="preserve"> and is </w:t>
      </w:r>
      <w:r w:rsidR="008B69BA">
        <w:t>earlier in TRL than what the program focuses on</w:t>
      </w:r>
      <w:r w:rsidR="00CE6C07">
        <w:t>.</w:t>
      </w:r>
      <w:r w:rsidR="002E01BB">
        <w:t xml:space="preserve">  </w:t>
      </w:r>
    </w:p>
    <w:p w14:paraId="6BDD5700" w14:textId="12E0F680" w:rsidR="0016273F" w:rsidRDefault="002E01BB" w:rsidP="0004498B">
      <w:pPr>
        <w:spacing w:after="240"/>
      </w:pPr>
      <w:r>
        <w:lastRenderedPageBreak/>
        <w:t xml:space="preserve">In 2024, the </w:t>
      </w:r>
      <w:r w:rsidR="003D1326">
        <w:t>s</w:t>
      </w:r>
      <w:r w:rsidR="00C83BDD">
        <w:t>tart-up developing</w:t>
      </w:r>
      <w:r>
        <w:t xml:space="preserve"> the Gas-Fired Adsorption Heat Pump Water Heater was ready to engage with the GET program for </w:t>
      </w:r>
      <w:r w:rsidR="000B5F81">
        <w:t xml:space="preserve">Beta </w:t>
      </w:r>
      <w:r>
        <w:t>laboratory testing.</w:t>
      </w:r>
      <w:r w:rsidR="00CE6C07">
        <w:t xml:space="preserve"> </w:t>
      </w:r>
      <w:r w:rsidR="002A4159">
        <w:t xml:space="preserve"> </w:t>
      </w:r>
      <w:r w:rsidR="0016273F">
        <w:t xml:space="preserve">Additionally, the program learned about a Hybrid Electric-Gas </w:t>
      </w:r>
      <w:r w:rsidR="00D8704E">
        <w:t>Unit</w:t>
      </w:r>
      <w:r w:rsidR="006F67A1">
        <w:t xml:space="preserve"> that was ready for Beta laboratory testing</w:t>
      </w:r>
      <w:r w:rsidR="00D8704E">
        <w:t xml:space="preserve">.  Hybrid electric-gas units promise the flexibility of dual fuels, higher performance and lower emissions than </w:t>
      </w:r>
      <w:r w:rsidR="005852D1">
        <w:t xml:space="preserve">either fuel could achieve independently and thus are a new research area both within the domestic water heating and pool hot water heating areas. </w:t>
      </w:r>
    </w:p>
    <w:p w14:paraId="59299AEF" w14:textId="25092BAD" w:rsidR="00CE6C07" w:rsidRDefault="00CE6C07" w:rsidP="0004498B">
      <w:pPr>
        <w:spacing w:after="240"/>
      </w:pPr>
      <w:r>
        <w:t xml:space="preserve">Therefore, </w:t>
      </w:r>
      <w:r w:rsidR="003F575B">
        <w:t>the technolog</w:t>
      </w:r>
      <w:r w:rsidR="002E01BB">
        <w:t>ies</w:t>
      </w:r>
      <w:r w:rsidR="003F575B">
        <w:t xml:space="preserve"> selected for further investigation in </w:t>
      </w:r>
      <w:r w:rsidR="00986B94">
        <w:t>2025</w:t>
      </w:r>
      <w:r w:rsidR="003F575B">
        <w:t xml:space="preserve"> </w:t>
      </w:r>
      <w:r w:rsidR="002E01BB">
        <w:t>are</w:t>
      </w:r>
      <w:r w:rsidR="003F575B">
        <w:t>:</w:t>
      </w:r>
    </w:p>
    <w:p w14:paraId="370D8091" w14:textId="121C32DF" w:rsidR="003F575B" w:rsidRDefault="003F575B" w:rsidP="00AA34F5">
      <w:pPr>
        <w:pStyle w:val="ListParagraph"/>
        <w:numPr>
          <w:ilvl w:val="0"/>
          <w:numId w:val="21"/>
        </w:numPr>
      </w:pPr>
      <w:r>
        <w:t>Gas-Fired Absorption Heat Pump Water Heater &amp; Combi</w:t>
      </w:r>
    </w:p>
    <w:p w14:paraId="75069B42" w14:textId="272DC61E" w:rsidR="002E01BB" w:rsidRDefault="002E01BB" w:rsidP="00AA34F5">
      <w:pPr>
        <w:pStyle w:val="ListParagraph"/>
        <w:numPr>
          <w:ilvl w:val="0"/>
          <w:numId w:val="21"/>
        </w:numPr>
      </w:pPr>
      <w:r>
        <w:t>Gas-Fired Adsorption Heat Pump Water Heater</w:t>
      </w:r>
    </w:p>
    <w:p w14:paraId="677629BB" w14:textId="1A6566E6" w:rsidR="004837E3" w:rsidRDefault="004837E3" w:rsidP="00AA34F5">
      <w:pPr>
        <w:pStyle w:val="ListParagraph"/>
        <w:numPr>
          <w:ilvl w:val="0"/>
          <w:numId w:val="21"/>
        </w:numPr>
      </w:pPr>
      <w:r>
        <w:t>Hybrid Electric</w:t>
      </w:r>
      <w:r w:rsidR="00AC75A8">
        <w:t xml:space="preserve"> Heat Pump</w:t>
      </w:r>
      <w:r>
        <w:t xml:space="preserve">-Gas </w:t>
      </w:r>
      <w:r w:rsidR="00AC75A8">
        <w:t>Backup</w:t>
      </w:r>
      <w:r>
        <w:t xml:space="preserve"> Water Heater </w:t>
      </w:r>
    </w:p>
    <w:p w14:paraId="007F0437" w14:textId="77777777" w:rsidR="00ED7C7C" w:rsidRDefault="00ED7C7C" w:rsidP="00ED7C7C">
      <w:pPr>
        <w:pStyle w:val="ListParagraph"/>
        <w:ind w:left="720" w:firstLine="0"/>
      </w:pPr>
    </w:p>
    <w:p w14:paraId="2AA631A6" w14:textId="77777777" w:rsidR="00AC75A8" w:rsidRDefault="003F575B" w:rsidP="00E17BF0">
      <w:pPr>
        <w:spacing w:after="240"/>
      </w:pPr>
      <w:r>
        <w:t xml:space="preserve">There are two (2) manufacturers with commercially available </w:t>
      </w:r>
      <w:r w:rsidR="00546AD5">
        <w:t>Gas-Fired Absorption Heat Pump Water Heaters</w:t>
      </w:r>
      <w:r>
        <w:t xml:space="preserve"> in the United States as of 2023 and the GET program </w:t>
      </w:r>
      <w:r w:rsidR="00151AF4">
        <w:t>has projects to</w:t>
      </w:r>
      <w:r w:rsidR="002A1BBA">
        <w:t xml:space="preserve"> test both in the lab and the field.</w:t>
      </w:r>
      <w:r w:rsidR="00546AD5">
        <w:t xml:space="preserve"> </w:t>
      </w:r>
    </w:p>
    <w:p w14:paraId="105074BE" w14:textId="3F29336A" w:rsidR="003F575B" w:rsidRDefault="00546AD5" w:rsidP="00E17BF0">
      <w:pPr>
        <w:spacing w:after="240"/>
      </w:pPr>
      <w:r>
        <w:t xml:space="preserve">There is one manufacturer with a Gas-Fired Adsorption Heat Pump Water Heater that is </w:t>
      </w:r>
      <w:r w:rsidR="001C5D0D">
        <w:t>at TRL (</w:t>
      </w:r>
      <w:r w:rsidR="007A541E">
        <w:t>6</w:t>
      </w:r>
      <w:r w:rsidR="001C5D0D">
        <w:t xml:space="preserve">) and the GET program will test this unit in a lab. </w:t>
      </w:r>
      <w:r w:rsidR="002A1BBA">
        <w:t xml:space="preserve"> </w:t>
      </w:r>
    </w:p>
    <w:p w14:paraId="6D4DA38C" w14:textId="77777777" w:rsidR="006F7DD6" w:rsidRDefault="00AC75A8" w:rsidP="006F7DD6">
      <w:r>
        <w:t>There is one manufacturer with a Hybrid Electric Heat Pump-Gas Backup Water Heater that is at TRL (</w:t>
      </w:r>
      <w:r>
        <w:t>7</w:t>
      </w:r>
      <w:r>
        <w:t xml:space="preserve">) and the GET program will test this unit in a lab.  </w:t>
      </w:r>
    </w:p>
    <w:p w14:paraId="3FAAFBF1" w14:textId="77777777" w:rsidR="006F7DD6" w:rsidRDefault="006F7DD6" w:rsidP="006F7DD6"/>
    <w:p w14:paraId="127BD5BD" w14:textId="568822C6" w:rsidR="00A24CC2" w:rsidRDefault="00B049B1" w:rsidP="006F7DD6">
      <w:r>
        <w:t xml:space="preserve">Initial </w:t>
      </w:r>
      <w:r w:rsidR="00BB3686">
        <w:t xml:space="preserve">research </w:t>
      </w:r>
      <w:r>
        <w:t xml:space="preserve">in 2022 </w:t>
      </w:r>
      <w:r w:rsidR="00BB3686">
        <w:t>indicated the need for performance curve data</w:t>
      </w:r>
      <w:r w:rsidR="00467688">
        <w:t xml:space="preserve"> for current equipment</w:t>
      </w:r>
      <w:r w:rsidR="00EE4132">
        <w:t xml:space="preserve"> available in the U.S. market</w:t>
      </w:r>
      <w:r w:rsidR="00BB3686">
        <w:t>, installation configuration and cost data, maintenance requirement information, contractor training, contractor &amp; customer awareness campaigns, and CO</w:t>
      </w:r>
      <w:r w:rsidR="00BB3686" w:rsidRPr="00467688">
        <w:rPr>
          <w:vertAlign w:val="subscript"/>
        </w:rPr>
        <w:t>2</w:t>
      </w:r>
      <w:r w:rsidR="00BB3686">
        <w:t xml:space="preserve"> load shapes for these technologies.</w:t>
      </w:r>
      <w:r w:rsidR="008357ED">
        <w:t xml:space="preserve"> </w:t>
      </w:r>
    </w:p>
    <w:p w14:paraId="5EC23ADD" w14:textId="77777777" w:rsidR="003C7034" w:rsidRDefault="003C7034" w:rsidP="006F7DD6"/>
    <w:p w14:paraId="34914461" w14:textId="77777777" w:rsidR="00364CEA" w:rsidRDefault="00520CDF" w:rsidP="00364CEA">
      <w:pPr>
        <w:spacing w:after="240"/>
      </w:pPr>
      <w:r>
        <w:t xml:space="preserve">The GET program has been collecting data to </w:t>
      </w:r>
      <w:r w:rsidR="00A22C26">
        <w:t xml:space="preserve">generate performance curves </w:t>
      </w:r>
      <w:r w:rsidR="009072D9">
        <w:t>in 2023-202</w:t>
      </w:r>
      <w:r w:rsidR="00B3362D">
        <w:t>5</w:t>
      </w:r>
      <w:r w:rsidR="009072D9">
        <w:t xml:space="preserve"> and will continue to do so in 202</w:t>
      </w:r>
      <w:r w:rsidR="00B3362D">
        <w:t>6</w:t>
      </w:r>
      <w:r w:rsidR="009072D9">
        <w:t xml:space="preserve">. </w:t>
      </w:r>
      <w:r w:rsidR="00BB3686">
        <w:t xml:space="preserve"> </w:t>
      </w:r>
    </w:p>
    <w:p w14:paraId="412422DD" w14:textId="7B9B1E29" w:rsidR="00E07722" w:rsidRDefault="00895E82" w:rsidP="00364CEA">
      <w:pPr>
        <w:spacing w:after="240"/>
      </w:pPr>
      <w:r>
        <w:t xml:space="preserve">The gas-fired absorption heat pump water heater has an existing </w:t>
      </w:r>
      <w:r w:rsidR="00B57841">
        <w:t>M</w:t>
      </w:r>
      <w:r>
        <w:t xml:space="preserve">easure </w:t>
      </w:r>
      <w:r w:rsidR="00B57841">
        <w:t>P</w:t>
      </w:r>
      <w:r>
        <w:t>ackage</w:t>
      </w:r>
      <w:r w:rsidR="005440E1">
        <w:t xml:space="preserve"> (MP)</w:t>
      </w:r>
      <w:r w:rsidR="00B57841">
        <w:t xml:space="preserve"> </w:t>
      </w:r>
      <w:r w:rsidR="001A2DB8">
        <w:t>SWWH033</w:t>
      </w:r>
      <w:r>
        <w:t xml:space="preserve"> for</w:t>
      </w:r>
      <w:r w:rsidR="0093261F">
        <w:t xml:space="preserve"> </w:t>
      </w:r>
      <w:r w:rsidR="00511FFC">
        <w:t xml:space="preserve">only </w:t>
      </w:r>
      <w:r w:rsidR="0093261F">
        <w:t>the</w:t>
      </w:r>
      <w:r>
        <w:t xml:space="preserve"> multifamily </w:t>
      </w:r>
      <w:r w:rsidR="00CF6293">
        <w:t xml:space="preserve">(MF) </w:t>
      </w:r>
      <w:r w:rsidR="00B57841">
        <w:t>sector</w:t>
      </w:r>
      <w:r w:rsidR="00C56B3C">
        <w:t xml:space="preserve">. </w:t>
      </w:r>
      <w:r w:rsidR="004117B7">
        <w:t xml:space="preserve">This measure package will require updates </w:t>
      </w:r>
      <w:r w:rsidR="006A49A2">
        <w:t xml:space="preserve">based on field study as well as </w:t>
      </w:r>
      <w:r w:rsidR="00C976BD">
        <w:t>inclusion of other market segment</w:t>
      </w:r>
      <w:r w:rsidR="00D7555C">
        <w:t>s</w:t>
      </w:r>
      <w:r w:rsidR="00C976BD">
        <w:t>/</w:t>
      </w:r>
      <w:r w:rsidR="00437632">
        <w:t>building type</w:t>
      </w:r>
      <w:r w:rsidR="00D7555C">
        <w:t>s</w:t>
      </w:r>
      <w:r w:rsidR="00437632">
        <w:t xml:space="preserve">. The </w:t>
      </w:r>
      <w:r w:rsidR="00D64CE4">
        <w:t>goal of this effort is to</w:t>
      </w:r>
      <w:r w:rsidR="00437632">
        <w:t xml:space="preserve"> </w:t>
      </w:r>
      <w:r w:rsidR="00FA4E88">
        <w:t>support the expansion of</w:t>
      </w:r>
      <w:r w:rsidR="00437632">
        <w:t xml:space="preserve"> this existing </w:t>
      </w:r>
      <w:r w:rsidR="00D64CE4">
        <w:t>M</w:t>
      </w:r>
      <w:r w:rsidR="00437632">
        <w:t xml:space="preserve">easure </w:t>
      </w:r>
      <w:r w:rsidR="00D64CE4">
        <w:t>P</w:t>
      </w:r>
      <w:r w:rsidR="00437632">
        <w:t xml:space="preserve">ackage </w:t>
      </w:r>
      <w:r w:rsidR="00E50B67">
        <w:t xml:space="preserve">for </w:t>
      </w:r>
      <w:r w:rsidR="00437632">
        <w:t>additional building types</w:t>
      </w:r>
      <w:r w:rsidR="00FA4E88">
        <w:t xml:space="preserve"> and </w:t>
      </w:r>
      <w:r w:rsidR="00D64CE4">
        <w:t xml:space="preserve">development </w:t>
      </w:r>
      <w:r w:rsidR="00FA4E88">
        <w:t xml:space="preserve">of new measure packages </w:t>
      </w:r>
      <w:r w:rsidR="005B7ADE">
        <w:t xml:space="preserve">(by others) </w:t>
      </w:r>
      <w:r w:rsidR="00FA4E88">
        <w:t xml:space="preserve">for </w:t>
      </w:r>
      <w:r w:rsidR="009D1ED7">
        <w:t>combination systems and other system types (adsorption and thermal compression)</w:t>
      </w:r>
      <w:r w:rsidR="00C56B3C">
        <w:t xml:space="preserve">. </w:t>
      </w:r>
    </w:p>
    <w:p w14:paraId="028BBBF8" w14:textId="170DB2FC" w:rsidR="00E07722" w:rsidRDefault="00E07722" w:rsidP="00F76318">
      <w:r>
        <w:t xml:space="preserve">With increased trials of </w:t>
      </w:r>
      <w:r w:rsidR="00A304C2">
        <w:t xml:space="preserve">natural-gas </w:t>
      </w:r>
      <w:r>
        <w:t xml:space="preserve">hydrogen blends being conducted both in the United States and in other countries, </w:t>
      </w:r>
      <w:r w:rsidR="00BE199B">
        <w:t>the program has recognized the need to start looking at the impacts</w:t>
      </w:r>
      <w:r w:rsidR="00EE7F09">
        <w:t xml:space="preserve"> of these blends</w:t>
      </w:r>
      <w:r w:rsidR="00BE199B">
        <w:t>.</w:t>
      </w:r>
      <w:r w:rsidR="00BE199B" w:rsidRPr="00BE199B">
        <w:t xml:space="preserve"> </w:t>
      </w:r>
      <w:r w:rsidR="00EE7F09">
        <w:t>While there is laboratory testing of safety and burner efficiency using these blends, t</w:t>
      </w:r>
      <w:r w:rsidR="00BE199B">
        <w:t xml:space="preserve">he impacts that these blends have on </w:t>
      </w:r>
      <w:r w:rsidR="008A0E07">
        <w:t xml:space="preserve">overall </w:t>
      </w:r>
      <w:r w:rsidR="00BE199B">
        <w:t xml:space="preserve">system performance in blends up to about 30% </w:t>
      </w:r>
      <w:r w:rsidR="00F92C7D">
        <w:t>h</w:t>
      </w:r>
      <w:r w:rsidR="00BE199B">
        <w:t>ydrogen have limited test data that can be applied to potential measures and/or applications.</w:t>
      </w:r>
      <w:r w:rsidR="00EE7F09">
        <w:t xml:space="preserve">  </w:t>
      </w:r>
      <w:r w:rsidR="006C7509">
        <w:t>In 202</w:t>
      </w:r>
      <w:r w:rsidR="00B3362D">
        <w:t>5</w:t>
      </w:r>
      <w:r w:rsidR="006C7509">
        <w:t xml:space="preserve"> and expanding in 202</w:t>
      </w:r>
      <w:r w:rsidR="00B3362D">
        <w:t>6</w:t>
      </w:r>
      <w:r w:rsidR="006C7509">
        <w:t>, t</w:t>
      </w:r>
      <w:r w:rsidR="00BE199B">
        <w:t xml:space="preserve">he program </w:t>
      </w:r>
      <w:r w:rsidR="006C7509">
        <w:t xml:space="preserve">will </w:t>
      </w:r>
      <w:r w:rsidR="00BE199B">
        <w:t>collect</w:t>
      </w:r>
      <w:r w:rsidR="006C7509">
        <w:t xml:space="preserve"> lab</w:t>
      </w:r>
      <w:r w:rsidR="00BE199B">
        <w:t xml:space="preserve"> data from these technologies to complement existing natural gas only data.  </w:t>
      </w:r>
    </w:p>
    <w:p w14:paraId="4A43F42E" w14:textId="77777777" w:rsidR="00B049B1" w:rsidRDefault="00B049B1" w:rsidP="00F76318"/>
    <w:p w14:paraId="78145D96" w14:textId="667D50DF" w:rsidR="00B61B80" w:rsidRDefault="00EF2622" w:rsidP="00F76318">
      <w:r>
        <w:t xml:space="preserve">Lab testing of the </w:t>
      </w:r>
      <w:r w:rsidR="00AB127D">
        <w:t xml:space="preserve">first </w:t>
      </w:r>
      <w:r>
        <w:t>Gas-Fired Absorption Heat Pump Water Heater was completed in 2024, and one fi</w:t>
      </w:r>
      <w:r w:rsidR="0048626A">
        <w:t>el</w:t>
      </w:r>
      <w:r>
        <w:t xml:space="preserve">d study for the same unit </w:t>
      </w:r>
      <w:r w:rsidR="00B3362D">
        <w:t xml:space="preserve">was </w:t>
      </w:r>
      <w:r>
        <w:t xml:space="preserve">completed in Q1 2025. </w:t>
      </w:r>
      <w:r w:rsidR="00EA5043">
        <w:t xml:space="preserve">Several other field studies for Gas-Fired </w:t>
      </w:r>
      <w:r w:rsidR="00EA5043">
        <w:lastRenderedPageBreak/>
        <w:t>Absorption Heat Pump Water Heater</w:t>
      </w:r>
      <w:r w:rsidR="00AB127D">
        <w:t>s</w:t>
      </w:r>
      <w:r w:rsidR="00EA5043">
        <w:t xml:space="preserve"> are in process</w:t>
      </w:r>
      <w:r w:rsidR="00A70866">
        <w:t xml:space="preserve"> or in the pipeline</w:t>
      </w:r>
      <w:r w:rsidR="00AA6204">
        <w:t>, and the objectives for those tests remain the same as 2024</w:t>
      </w:r>
      <w:r w:rsidR="00B3362D">
        <w:t xml:space="preserve"> and 2025</w:t>
      </w:r>
      <w:r w:rsidR="00A70866">
        <w:t xml:space="preserve">. The GET program will </w:t>
      </w:r>
      <w:r w:rsidR="00902336">
        <w:t>continue</w:t>
      </w:r>
      <w:r w:rsidR="00A70866">
        <w:t xml:space="preserve"> testing a second Gas-Fired Absorption Heat Pump Water Heater unit in the lab and has added testing with Hydrogen blends to the testing objectives.</w:t>
      </w:r>
      <w:r w:rsidR="006277E2">
        <w:t xml:space="preserve"> </w:t>
      </w:r>
      <w:r w:rsidR="00452516">
        <w:t xml:space="preserve"> Table 6 contains a summary of the lab testing work.</w:t>
      </w:r>
    </w:p>
    <w:p w14:paraId="1675BC12" w14:textId="77777777" w:rsidR="00FB62AB" w:rsidRDefault="00FB62AB" w:rsidP="00F76318"/>
    <w:p w14:paraId="71101E5E" w14:textId="0BCC84B6" w:rsidR="00FB62AB" w:rsidRPr="00D15EF2" w:rsidRDefault="00FB62AB" w:rsidP="00FB62AB">
      <w:pPr>
        <w:pStyle w:val="Caption"/>
        <w:keepNext/>
        <w:spacing w:after="0"/>
        <w:rPr>
          <w:b/>
          <w:bCs/>
          <w:i w:val="0"/>
          <w:iCs w:val="0"/>
          <w:color w:val="auto"/>
          <w:sz w:val="20"/>
          <w:szCs w:val="20"/>
        </w:rPr>
      </w:pPr>
      <w:r w:rsidRPr="00D15EF2">
        <w:rPr>
          <w:b/>
          <w:bCs/>
          <w:i w:val="0"/>
          <w:iCs w:val="0"/>
          <w:color w:val="auto"/>
          <w:sz w:val="20"/>
          <w:szCs w:val="20"/>
        </w:rPr>
        <w:t xml:space="preserve">Table </w:t>
      </w:r>
      <w:r>
        <w:rPr>
          <w:b/>
          <w:bCs/>
          <w:i w:val="0"/>
          <w:iCs w:val="0"/>
          <w:color w:val="auto"/>
          <w:sz w:val="20"/>
          <w:szCs w:val="20"/>
        </w:rPr>
        <w:t>6</w:t>
      </w:r>
      <w:r w:rsidRPr="00D15EF2">
        <w:rPr>
          <w:b/>
          <w:bCs/>
          <w:i w:val="0"/>
          <w:iCs w:val="0"/>
          <w:color w:val="auto"/>
          <w:sz w:val="20"/>
          <w:szCs w:val="20"/>
        </w:rPr>
        <w:t xml:space="preserve">: </w:t>
      </w:r>
      <w:r w:rsidRPr="00D15EF2">
        <w:rPr>
          <w:i w:val="0"/>
          <w:iCs w:val="0"/>
          <w:color w:val="auto"/>
          <w:sz w:val="20"/>
          <w:szCs w:val="20"/>
        </w:rPr>
        <w:t xml:space="preserve">GAHP </w:t>
      </w:r>
      <w:r>
        <w:rPr>
          <w:i w:val="0"/>
          <w:iCs w:val="0"/>
          <w:color w:val="auto"/>
          <w:sz w:val="20"/>
          <w:szCs w:val="20"/>
        </w:rPr>
        <w:t>Lab Testing</w:t>
      </w:r>
    </w:p>
    <w:tbl>
      <w:tblPr>
        <w:tblStyle w:val="GridTable4-Accent3"/>
        <w:tblW w:w="0" w:type="auto"/>
        <w:tblLook w:val="04A0" w:firstRow="1" w:lastRow="0" w:firstColumn="1" w:lastColumn="0" w:noHBand="0" w:noVBand="1"/>
      </w:tblPr>
      <w:tblGrid>
        <w:gridCol w:w="3595"/>
        <w:gridCol w:w="1350"/>
        <w:gridCol w:w="2520"/>
        <w:gridCol w:w="1800"/>
      </w:tblGrid>
      <w:tr w:rsidR="00F76861" w:rsidRPr="00030BF1" w14:paraId="48F130C5" w14:textId="176A902E" w:rsidTr="00833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269F7C9" w14:textId="7E8AF64A" w:rsidR="00F76861" w:rsidRPr="00030BF1" w:rsidRDefault="00F76861" w:rsidP="00C909AE">
            <w:r>
              <w:t>Equipment Type</w:t>
            </w:r>
          </w:p>
        </w:tc>
        <w:tc>
          <w:tcPr>
            <w:tcW w:w="1350" w:type="dxa"/>
          </w:tcPr>
          <w:p w14:paraId="06538269" w14:textId="77777777" w:rsidR="00F76861" w:rsidRPr="00030BF1" w:rsidRDefault="00F76861" w:rsidP="00C909AE">
            <w:pPr>
              <w:cnfStyle w:val="100000000000" w:firstRow="1" w:lastRow="0" w:firstColumn="0" w:lastColumn="0" w:oddVBand="0" w:evenVBand="0" w:oddHBand="0" w:evenHBand="0" w:firstRowFirstColumn="0" w:firstRowLastColumn="0" w:lastRowFirstColumn="0" w:lastRowLastColumn="0"/>
            </w:pPr>
            <w:r w:rsidRPr="00030BF1">
              <w:t>Launch Year</w:t>
            </w:r>
          </w:p>
        </w:tc>
        <w:tc>
          <w:tcPr>
            <w:tcW w:w="2520" w:type="dxa"/>
          </w:tcPr>
          <w:p w14:paraId="4CBEA5F3" w14:textId="3E4EBDE0" w:rsidR="00F76861" w:rsidRPr="00030BF1" w:rsidRDefault="00F76861" w:rsidP="00C909AE">
            <w:pPr>
              <w:cnfStyle w:val="100000000000" w:firstRow="1" w:lastRow="0" w:firstColumn="0" w:lastColumn="0" w:oddVBand="0" w:evenVBand="0" w:oddHBand="0" w:evenHBand="0" w:firstRowFirstColumn="0" w:firstRowLastColumn="0" w:lastRowFirstColumn="0" w:lastRowLastColumn="0"/>
            </w:pPr>
            <w:r>
              <w:t>Fuel</w:t>
            </w:r>
            <w:r w:rsidR="00233E10">
              <w:t>(s)</w:t>
            </w:r>
            <w:r>
              <w:t xml:space="preserve"> Tested</w:t>
            </w:r>
          </w:p>
        </w:tc>
        <w:tc>
          <w:tcPr>
            <w:tcW w:w="1800" w:type="dxa"/>
          </w:tcPr>
          <w:p w14:paraId="6E29ECD4" w14:textId="4A726D7C" w:rsidR="00F76861" w:rsidRDefault="00F76861" w:rsidP="00C909AE">
            <w:pPr>
              <w:cnfStyle w:val="100000000000" w:firstRow="1" w:lastRow="0" w:firstColumn="0" w:lastColumn="0" w:oddVBand="0" w:evenVBand="0" w:oddHBand="0" w:evenHBand="0" w:firstRowFirstColumn="0" w:firstRowLastColumn="0" w:lastRowFirstColumn="0" w:lastRowLastColumn="0"/>
            </w:pPr>
            <w:r>
              <w:t>Status</w:t>
            </w:r>
          </w:p>
        </w:tc>
      </w:tr>
      <w:tr w:rsidR="00F76861" w:rsidRPr="00030BF1" w14:paraId="3BEEF2F0" w14:textId="266FB11C" w:rsidTr="00833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7E8D912" w14:textId="6834FB7E" w:rsidR="00F76861" w:rsidRPr="00030BF1" w:rsidRDefault="00F76861" w:rsidP="00C909AE">
            <w:pPr>
              <w:rPr>
                <w:b w:val="0"/>
                <w:bCs w:val="0"/>
              </w:rPr>
            </w:pPr>
            <w:r>
              <w:rPr>
                <w:b w:val="0"/>
                <w:bCs w:val="0"/>
              </w:rPr>
              <w:t>Absorption #1</w:t>
            </w:r>
          </w:p>
        </w:tc>
        <w:tc>
          <w:tcPr>
            <w:tcW w:w="1350" w:type="dxa"/>
          </w:tcPr>
          <w:p w14:paraId="6ADC69C5" w14:textId="77777777" w:rsidR="00F76861" w:rsidRPr="00030BF1" w:rsidRDefault="00F76861" w:rsidP="00C909AE">
            <w:pPr>
              <w:cnfStyle w:val="000000100000" w:firstRow="0" w:lastRow="0" w:firstColumn="0" w:lastColumn="0" w:oddVBand="0" w:evenVBand="0" w:oddHBand="1" w:evenHBand="0" w:firstRowFirstColumn="0" w:firstRowLastColumn="0" w:lastRowFirstColumn="0" w:lastRowLastColumn="0"/>
            </w:pPr>
            <w:r w:rsidRPr="00030BF1">
              <w:t>2023</w:t>
            </w:r>
          </w:p>
        </w:tc>
        <w:tc>
          <w:tcPr>
            <w:tcW w:w="2520" w:type="dxa"/>
          </w:tcPr>
          <w:p w14:paraId="24D2896D" w14:textId="76532916" w:rsidR="00F76861" w:rsidRPr="00030BF1" w:rsidRDefault="00F76861" w:rsidP="00C909AE">
            <w:pPr>
              <w:cnfStyle w:val="000000100000" w:firstRow="0" w:lastRow="0" w:firstColumn="0" w:lastColumn="0" w:oddVBand="0" w:evenVBand="0" w:oddHBand="1" w:evenHBand="0" w:firstRowFirstColumn="0" w:firstRowLastColumn="0" w:lastRowFirstColumn="0" w:lastRowLastColumn="0"/>
            </w:pPr>
            <w:r>
              <w:t>Natural Gas</w:t>
            </w:r>
          </w:p>
        </w:tc>
        <w:tc>
          <w:tcPr>
            <w:tcW w:w="1800" w:type="dxa"/>
          </w:tcPr>
          <w:p w14:paraId="25EA56C4" w14:textId="4E525CD1" w:rsidR="00F76861" w:rsidRPr="00030BF1" w:rsidRDefault="0002370D" w:rsidP="00C909AE">
            <w:pPr>
              <w:cnfStyle w:val="000000100000" w:firstRow="0" w:lastRow="0" w:firstColumn="0" w:lastColumn="0" w:oddVBand="0" w:evenVBand="0" w:oddHBand="1" w:evenHBand="0" w:firstRowFirstColumn="0" w:firstRowLastColumn="0" w:lastRowFirstColumn="0" w:lastRowLastColumn="0"/>
            </w:pPr>
            <w:r>
              <w:t>Complete</w:t>
            </w:r>
          </w:p>
        </w:tc>
      </w:tr>
      <w:tr w:rsidR="00F76861" w:rsidRPr="00030BF1" w14:paraId="74321AC1" w14:textId="47D2EA93" w:rsidTr="008336C2">
        <w:tc>
          <w:tcPr>
            <w:cnfStyle w:val="001000000000" w:firstRow="0" w:lastRow="0" w:firstColumn="1" w:lastColumn="0" w:oddVBand="0" w:evenVBand="0" w:oddHBand="0" w:evenHBand="0" w:firstRowFirstColumn="0" w:firstRowLastColumn="0" w:lastRowFirstColumn="0" w:lastRowLastColumn="0"/>
            <w:tcW w:w="3595" w:type="dxa"/>
          </w:tcPr>
          <w:p w14:paraId="58EAC0F2" w14:textId="674652C9" w:rsidR="00F76861" w:rsidRPr="00030BF1" w:rsidRDefault="008670DC" w:rsidP="00C909AE">
            <w:pPr>
              <w:rPr>
                <w:b w:val="0"/>
                <w:bCs w:val="0"/>
              </w:rPr>
            </w:pPr>
            <w:r>
              <w:rPr>
                <w:b w:val="0"/>
                <w:bCs w:val="0"/>
              </w:rPr>
              <w:t>Absorption #1</w:t>
            </w:r>
          </w:p>
        </w:tc>
        <w:tc>
          <w:tcPr>
            <w:tcW w:w="1350" w:type="dxa"/>
          </w:tcPr>
          <w:p w14:paraId="40F8E300" w14:textId="77777777" w:rsidR="00F76861" w:rsidRPr="00030BF1" w:rsidRDefault="00F76861" w:rsidP="00C909AE">
            <w:pPr>
              <w:cnfStyle w:val="000000000000" w:firstRow="0" w:lastRow="0" w:firstColumn="0" w:lastColumn="0" w:oddVBand="0" w:evenVBand="0" w:oddHBand="0" w:evenHBand="0" w:firstRowFirstColumn="0" w:firstRowLastColumn="0" w:lastRowFirstColumn="0" w:lastRowLastColumn="0"/>
            </w:pPr>
            <w:r w:rsidRPr="00030BF1">
              <w:t>2024</w:t>
            </w:r>
          </w:p>
        </w:tc>
        <w:tc>
          <w:tcPr>
            <w:tcW w:w="2520" w:type="dxa"/>
          </w:tcPr>
          <w:p w14:paraId="27293DBC" w14:textId="45DD119A" w:rsidR="00F76861" w:rsidRPr="00030BF1" w:rsidRDefault="008670DC" w:rsidP="00C909AE">
            <w:pPr>
              <w:cnfStyle w:val="000000000000" w:firstRow="0" w:lastRow="0" w:firstColumn="0" w:lastColumn="0" w:oddVBand="0" w:evenVBand="0" w:oddHBand="0" w:evenHBand="0" w:firstRowFirstColumn="0" w:firstRowLastColumn="0" w:lastRowFirstColumn="0" w:lastRowLastColumn="0"/>
            </w:pPr>
            <w:r>
              <w:t>Natural Gas- H2 Blend</w:t>
            </w:r>
          </w:p>
        </w:tc>
        <w:tc>
          <w:tcPr>
            <w:tcW w:w="1800" w:type="dxa"/>
          </w:tcPr>
          <w:p w14:paraId="017DF215" w14:textId="4A8777DD" w:rsidR="00F76861" w:rsidRPr="00030BF1" w:rsidRDefault="008670DC" w:rsidP="00C909AE">
            <w:pPr>
              <w:cnfStyle w:val="000000000000" w:firstRow="0" w:lastRow="0" w:firstColumn="0" w:lastColumn="0" w:oddVBand="0" w:evenVBand="0" w:oddHBand="0" w:evenHBand="0" w:firstRowFirstColumn="0" w:firstRowLastColumn="0" w:lastRowFirstColumn="0" w:lastRowLastColumn="0"/>
            </w:pPr>
            <w:r>
              <w:t>Complete</w:t>
            </w:r>
          </w:p>
        </w:tc>
      </w:tr>
      <w:tr w:rsidR="00CC17A1" w:rsidRPr="00030BF1" w14:paraId="3DCBDEB0" w14:textId="784B2F6B" w:rsidTr="00833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1394690" w14:textId="683A6038" w:rsidR="00CC17A1" w:rsidRPr="00030BF1" w:rsidRDefault="00CC17A1" w:rsidP="00CC17A1">
            <w:pPr>
              <w:rPr>
                <w:b w:val="0"/>
                <w:bCs w:val="0"/>
              </w:rPr>
            </w:pPr>
            <w:r>
              <w:rPr>
                <w:b w:val="0"/>
                <w:bCs w:val="0"/>
              </w:rPr>
              <w:t>A</w:t>
            </w:r>
            <w:r>
              <w:rPr>
                <w:b w:val="0"/>
                <w:bCs w:val="0"/>
              </w:rPr>
              <w:t>d</w:t>
            </w:r>
            <w:r>
              <w:rPr>
                <w:b w:val="0"/>
                <w:bCs w:val="0"/>
              </w:rPr>
              <w:t>sorption #1</w:t>
            </w:r>
            <w:r w:rsidR="002D17A0">
              <w:rPr>
                <w:b w:val="0"/>
                <w:bCs w:val="0"/>
              </w:rPr>
              <w:t xml:space="preserve"> (beta)</w:t>
            </w:r>
          </w:p>
        </w:tc>
        <w:tc>
          <w:tcPr>
            <w:tcW w:w="1350" w:type="dxa"/>
          </w:tcPr>
          <w:p w14:paraId="4D54E43E" w14:textId="77777777" w:rsidR="00CC17A1" w:rsidRPr="00030BF1" w:rsidRDefault="00CC17A1" w:rsidP="00CC17A1">
            <w:pPr>
              <w:cnfStyle w:val="000000100000" w:firstRow="0" w:lastRow="0" w:firstColumn="0" w:lastColumn="0" w:oddVBand="0" w:evenVBand="0" w:oddHBand="1" w:evenHBand="0" w:firstRowFirstColumn="0" w:firstRowLastColumn="0" w:lastRowFirstColumn="0" w:lastRowLastColumn="0"/>
            </w:pPr>
            <w:r w:rsidRPr="00030BF1">
              <w:t>2024</w:t>
            </w:r>
          </w:p>
        </w:tc>
        <w:tc>
          <w:tcPr>
            <w:tcW w:w="2520" w:type="dxa"/>
          </w:tcPr>
          <w:p w14:paraId="4CC507DF" w14:textId="3D43B284" w:rsidR="00CC17A1" w:rsidRPr="00030BF1" w:rsidRDefault="00CC17A1" w:rsidP="00CC17A1">
            <w:pPr>
              <w:cnfStyle w:val="000000100000" w:firstRow="0" w:lastRow="0" w:firstColumn="0" w:lastColumn="0" w:oddVBand="0" w:evenVBand="0" w:oddHBand="1" w:evenHBand="0" w:firstRowFirstColumn="0" w:firstRowLastColumn="0" w:lastRowFirstColumn="0" w:lastRowLastColumn="0"/>
            </w:pPr>
            <w:r>
              <w:t>Natural Gas</w:t>
            </w:r>
          </w:p>
        </w:tc>
        <w:tc>
          <w:tcPr>
            <w:tcW w:w="1800" w:type="dxa"/>
          </w:tcPr>
          <w:p w14:paraId="776725A9" w14:textId="69244B1E" w:rsidR="00CC17A1" w:rsidRPr="00030BF1" w:rsidRDefault="00CC17A1" w:rsidP="00CC17A1">
            <w:pPr>
              <w:cnfStyle w:val="000000100000" w:firstRow="0" w:lastRow="0" w:firstColumn="0" w:lastColumn="0" w:oddVBand="0" w:evenVBand="0" w:oddHBand="1" w:evenHBand="0" w:firstRowFirstColumn="0" w:firstRowLastColumn="0" w:lastRowFirstColumn="0" w:lastRowLastColumn="0"/>
            </w:pPr>
            <w:r>
              <w:t>Complete</w:t>
            </w:r>
          </w:p>
        </w:tc>
      </w:tr>
      <w:tr w:rsidR="00524166" w:rsidRPr="00030BF1" w14:paraId="0D0048E4" w14:textId="553A03B0" w:rsidTr="008336C2">
        <w:tc>
          <w:tcPr>
            <w:cnfStyle w:val="001000000000" w:firstRow="0" w:lastRow="0" w:firstColumn="1" w:lastColumn="0" w:oddVBand="0" w:evenVBand="0" w:oddHBand="0" w:evenHBand="0" w:firstRowFirstColumn="0" w:firstRowLastColumn="0" w:lastRowFirstColumn="0" w:lastRowLastColumn="0"/>
            <w:tcW w:w="3595" w:type="dxa"/>
          </w:tcPr>
          <w:p w14:paraId="512AD643" w14:textId="2F55512A" w:rsidR="00524166" w:rsidRPr="00030BF1" w:rsidRDefault="00524166" w:rsidP="00524166">
            <w:pPr>
              <w:rPr>
                <w:b w:val="0"/>
                <w:bCs w:val="0"/>
              </w:rPr>
            </w:pPr>
            <w:r>
              <w:rPr>
                <w:b w:val="0"/>
                <w:bCs w:val="0"/>
              </w:rPr>
              <w:t>Absorption #</w:t>
            </w:r>
            <w:r>
              <w:rPr>
                <w:b w:val="0"/>
                <w:bCs w:val="0"/>
              </w:rPr>
              <w:t>2</w:t>
            </w:r>
          </w:p>
        </w:tc>
        <w:tc>
          <w:tcPr>
            <w:tcW w:w="1350" w:type="dxa"/>
          </w:tcPr>
          <w:p w14:paraId="736A9763" w14:textId="5A13CB61" w:rsidR="00524166" w:rsidRPr="00030BF1" w:rsidRDefault="00524166" w:rsidP="00524166">
            <w:pPr>
              <w:cnfStyle w:val="000000000000" w:firstRow="0" w:lastRow="0" w:firstColumn="0" w:lastColumn="0" w:oddVBand="0" w:evenVBand="0" w:oddHBand="0" w:evenHBand="0" w:firstRowFirstColumn="0" w:firstRowLastColumn="0" w:lastRowFirstColumn="0" w:lastRowLastColumn="0"/>
            </w:pPr>
            <w:r w:rsidRPr="00030BF1">
              <w:t>202</w:t>
            </w:r>
            <w:r>
              <w:t>4</w:t>
            </w:r>
          </w:p>
        </w:tc>
        <w:tc>
          <w:tcPr>
            <w:tcW w:w="2520" w:type="dxa"/>
          </w:tcPr>
          <w:p w14:paraId="5B3EA301" w14:textId="7A163012" w:rsidR="00524166" w:rsidRPr="00030BF1" w:rsidRDefault="00524166" w:rsidP="00524166">
            <w:pPr>
              <w:cnfStyle w:val="000000000000" w:firstRow="0" w:lastRow="0" w:firstColumn="0" w:lastColumn="0" w:oddVBand="0" w:evenVBand="0" w:oddHBand="0" w:evenHBand="0" w:firstRowFirstColumn="0" w:firstRowLastColumn="0" w:lastRowFirstColumn="0" w:lastRowLastColumn="0"/>
            </w:pPr>
            <w:r>
              <w:t>Natural Gas</w:t>
            </w:r>
          </w:p>
        </w:tc>
        <w:tc>
          <w:tcPr>
            <w:tcW w:w="1800" w:type="dxa"/>
          </w:tcPr>
          <w:p w14:paraId="2DAC4889" w14:textId="0358663F" w:rsidR="00524166" w:rsidRPr="00030BF1" w:rsidRDefault="00524166" w:rsidP="00524166">
            <w:pPr>
              <w:cnfStyle w:val="000000000000" w:firstRow="0" w:lastRow="0" w:firstColumn="0" w:lastColumn="0" w:oddVBand="0" w:evenVBand="0" w:oddHBand="0" w:evenHBand="0" w:firstRowFirstColumn="0" w:firstRowLastColumn="0" w:lastRowFirstColumn="0" w:lastRowLastColumn="0"/>
            </w:pPr>
            <w:r>
              <w:t>In Progress</w:t>
            </w:r>
          </w:p>
        </w:tc>
      </w:tr>
      <w:tr w:rsidR="008C4D4F" w:rsidRPr="00030BF1" w14:paraId="507DD73C" w14:textId="56E0D12E" w:rsidTr="00833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EF8F90A" w14:textId="4F63AEE5" w:rsidR="008C4D4F" w:rsidRPr="00030BF1" w:rsidRDefault="008C4D4F" w:rsidP="008C4D4F">
            <w:pPr>
              <w:rPr>
                <w:b w:val="0"/>
                <w:bCs w:val="0"/>
              </w:rPr>
            </w:pPr>
            <w:r>
              <w:rPr>
                <w:b w:val="0"/>
                <w:bCs w:val="0"/>
              </w:rPr>
              <w:t>Absorption #</w:t>
            </w:r>
            <w:r w:rsidR="002D17A0">
              <w:rPr>
                <w:b w:val="0"/>
                <w:bCs w:val="0"/>
              </w:rPr>
              <w:t>2</w:t>
            </w:r>
          </w:p>
        </w:tc>
        <w:tc>
          <w:tcPr>
            <w:tcW w:w="1350" w:type="dxa"/>
          </w:tcPr>
          <w:p w14:paraId="1076E6E7" w14:textId="1FBBD098" w:rsidR="008C4D4F" w:rsidRPr="00030BF1" w:rsidRDefault="008C4D4F" w:rsidP="008C4D4F">
            <w:pPr>
              <w:cnfStyle w:val="000000100000" w:firstRow="0" w:lastRow="0" w:firstColumn="0" w:lastColumn="0" w:oddVBand="0" w:evenVBand="0" w:oddHBand="1" w:evenHBand="0" w:firstRowFirstColumn="0" w:firstRowLastColumn="0" w:lastRowFirstColumn="0" w:lastRowLastColumn="0"/>
            </w:pPr>
            <w:r w:rsidRPr="00030BF1">
              <w:t>2024</w:t>
            </w:r>
          </w:p>
        </w:tc>
        <w:tc>
          <w:tcPr>
            <w:tcW w:w="2520" w:type="dxa"/>
          </w:tcPr>
          <w:p w14:paraId="3C84DF78" w14:textId="01F2F4E3" w:rsidR="008C4D4F" w:rsidRPr="00030BF1" w:rsidRDefault="008C4D4F" w:rsidP="008C4D4F">
            <w:pPr>
              <w:cnfStyle w:val="000000100000" w:firstRow="0" w:lastRow="0" w:firstColumn="0" w:lastColumn="0" w:oddVBand="0" w:evenVBand="0" w:oddHBand="1" w:evenHBand="0" w:firstRowFirstColumn="0" w:firstRowLastColumn="0" w:lastRowFirstColumn="0" w:lastRowLastColumn="0"/>
            </w:pPr>
            <w:r>
              <w:t>Natural Gas- H2 Blend</w:t>
            </w:r>
          </w:p>
        </w:tc>
        <w:tc>
          <w:tcPr>
            <w:tcW w:w="1800" w:type="dxa"/>
          </w:tcPr>
          <w:p w14:paraId="09C5C794" w14:textId="5597A9FA" w:rsidR="008C4D4F" w:rsidRPr="00030BF1" w:rsidRDefault="008C4D4F" w:rsidP="008C4D4F">
            <w:pPr>
              <w:cnfStyle w:val="000000100000" w:firstRow="0" w:lastRow="0" w:firstColumn="0" w:lastColumn="0" w:oddVBand="0" w:evenVBand="0" w:oddHBand="1" w:evenHBand="0" w:firstRowFirstColumn="0" w:firstRowLastColumn="0" w:lastRowFirstColumn="0" w:lastRowLastColumn="0"/>
            </w:pPr>
            <w:r>
              <w:t>In Progress</w:t>
            </w:r>
          </w:p>
        </w:tc>
      </w:tr>
      <w:tr w:rsidR="00CC17A1" w:rsidRPr="00030BF1" w14:paraId="388EC7C3" w14:textId="77777777" w:rsidTr="008336C2">
        <w:tc>
          <w:tcPr>
            <w:cnfStyle w:val="001000000000" w:firstRow="0" w:lastRow="0" w:firstColumn="1" w:lastColumn="0" w:oddVBand="0" w:evenVBand="0" w:oddHBand="0" w:evenHBand="0" w:firstRowFirstColumn="0" w:firstRowLastColumn="0" w:lastRowFirstColumn="0" w:lastRowLastColumn="0"/>
            <w:tcW w:w="3595" w:type="dxa"/>
          </w:tcPr>
          <w:p w14:paraId="4ABB63DE" w14:textId="0724C26F" w:rsidR="00CC17A1" w:rsidRPr="0016488B" w:rsidRDefault="008336C2" w:rsidP="00C909AE">
            <w:pPr>
              <w:rPr>
                <w:b w:val="0"/>
                <w:bCs w:val="0"/>
              </w:rPr>
            </w:pPr>
            <w:r>
              <w:rPr>
                <w:b w:val="0"/>
                <w:bCs w:val="0"/>
              </w:rPr>
              <w:t xml:space="preserve">Hybrid </w:t>
            </w:r>
            <w:r w:rsidR="009A11EF" w:rsidRPr="0016488B">
              <w:rPr>
                <w:b w:val="0"/>
                <w:bCs w:val="0"/>
              </w:rPr>
              <w:t>Electric</w:t>
            </w:r>
            <w:r w:rsidR="0016488B" w:rsidRPr="0016488B">
              <w:rPr>
                <w:b w:val="0"/>
                <w:bCs w:val="0"/>
              </w:rPr>
              <w:t xml:space="preserve"> HP- Gas Backup </w:t>
            </w:r>
            <w:r w:rsidR="002D17A0">
              <w:rPr>
                <w:b w:val="0"/>
                <w:bCs w:val="0"/>
              </w:rPr>
              <w:t>(Beta)</w:t>
            </w:r>
          </w:p>
        </w:tc>
        <w:tc>
          <w:tcPr>
            <w:tcW w:w="1350" w:type="dxa"/>
          </w:tcPr>
          <w:p w14:paraId="11F318B6" w14:textId="20C94770" w:rsidR="00CC17A1" w:rsidRPr="00030BF1" w:rsidRDefault="009A11EF" w:rsidP="00C909AE">
            <w:pPr>
              <w:cnfStyle w:val="000000000000" w:firstRow="0" w:lastRow="0" w:firstColumn="0" w:lastColumn="0" w:oddVBand="0" w:evenVBand="0" w:oddHBand="0" w:evenHBand="0" w:firstRowFirstColumn="0" w:firstRowLastColumn="0" w:lastRowFirstColumn="0" w:lastRowLastColumn="0"/>
            </w:pPr>
            <w:r>
              <w:t>2025</w:t>
            </w:r>
          </w:p>
        </w:tc>
        <w:tc>
          <w:tcPr>
            <w:tcW w:w="2520" w:type="dxa"/>
          </w:tcPr>
          <w:p w14:paraId="3607C886" w14:textId="075A7010" w:rsidR="00CC17A1" w:rsidRPr="00030BF1" w:rsidRDefault="009A11EF" w:rsidP="00C909AE">
            <w:pPr>
              <w:cnfStyle w:val="000000000000" w:firstRow="0" w:lastRow="0" w:firstColumn="0" w:lastColumn="0" w:oddVBand="0" w:evenVBand="0" w:oddHBand="0" w:evenHBand="0" w:firstRowFirstColumn="0" w:firstRowLastColumn="0" w:lastRowFirstColumn="0" w:lastRowLastColumn="0"/>
            </w:pPr>
            <w:r>
              <w:t>Electricity, Natural Gas</w:t>
            </w:r>
          </w:p>
        </w:tc>
        <w:tc>
          <w:tcPr>
            <w:tcW w:w="1800" w:type="dxa"/>
          </w:tcPr>
          <w:p w14:paraId="63A47E51" w14:textId="1CB73420" w:rsidR="00CC17A1" w:rsidRPr="00030BF1" w:rsidRDefault="009A11EF" w:rsidP="00C909AE">
            <w:pPr>
              <w:cnfStyle w:val="000000000000" w:firstRow="0" w:lastRow="0" w:firstColumn="0" w:lastColumn="0" w:oddVBand="0" w:evenVBand="0" w:oddHBand="0" w:evenHBand="0" w:firstRowFirstColumn="0" w:firstRowLastColumn="0" w:lastRowFirstColumn="0" w:lastRowLastColumn="0"/>
            </w:pPr>
            <w:r>
              <w:t>In Progress</w:t>
            </w:r>
          </w:p>
        </w:tc>
      </w:tr>
    </w:tbl>
    <w:p w14:paraId="0EAF2AF8" w14:textId="77777777" w:rsidR="00FB62AB" w:rsidRDefault="00FB62AB" w:rsidP="00F76318"/>
    <w:p w14:paraId="7DE72BC9" w14:textId="0ADAD064" w:rsidR="00772410" w:rsidRDefault="00772410" w:rsidP="00F76318">
      <w:r>
        <w:t xml:space="preserve">The outcome of the </w:t>
      </w:r>
      <w:r w:rsidR="0062633E">
        <w:t xml:space="preserve">completed </w:t>
      </w:r>
      <w:r>
        <w:t xml:space="preserve">commercialized unit testing </w:t>
      </w:r>
      <w:r w:rsidR="00FC0A24">
        <w:t xml:space="preserve">contains </w:t>
      </w:r>
      <w:r w:rsidR="00431690">
        <w:t xml:space="preserve">performance </w:t>
      </w:r>
      <w:r>
        <w:t xml:space="preserve">coefficients that can be used for </w:t>
      </w:r>
      <w:proofErr w:type="spellStart"/>
      <w:r>
        <w:t>EnergyPlus</w:t>
      </w:r>
      <w:proofErr w:type="spellEnd"/>
      <w:r>
        <w:t xml:space="preserve"> modeling</w:t>
      </w:r>
      <w:r w:rsidR="00FC0A24">
        <w:t xml:space="preserve"> and emissions testing</w:t>
      </w:r>
      <w:r w:rsidR="008E21DD">
        <w:t xml:space="preserve"> results</w:t>
      </w:r>
      <w:r w:rsidR="00FC0A24">
        <w:t>.</w:t>
      </w:r>
    </w:p>
    <w:p w14:paraId="2819BA10" w14:textId="45549C9C" w:rsidR="004B6147" w:rsidRDefault="004B6147" w:rsidP="00B46182"/>
    <w:p w14:paraId="303A4E3E" w14:textId="1A18812A" w:rsidR="00D15EF2" w:rsidRDefault="004B6147" w:rsidP="004B6147">
      <w:r w:rsidRPr="004B6147">
        <w:t xml:space="preserve">In 2025, the Program expanded its ongoing Gas Absorption Heat Pump (GAHP) field initiative under Phase 2F, launching two additional demonstration sites to complement earlier installations. This work </w:t>
      </w:r>
      <w:r w:rsidR="008E21DD" w:rsidRPr="004B6147">
        <w:t>is built</w:t>
      </w:r>
      <w:r w:rsidRPr="004B6147">
        <w:t xml:space="preserve"> on prior GAHP planning that identified four sites for in-situ testing. Site 1 (a multifamily building) launched in 2023 and concluded in 2024, followed by an extension project initiated in 2024 that remains active through 2026. Site 2 (a hotel) launched in 2024 and will continue into 2026. In 2025, the Program initiated Sites 3 and 4—multifamily and hotel installations, respectively</w:t>
      </w:r>
      <w:r w:rsidR="00030BF1">
        <w:t xml:space="preserve">. </w:t>
      </w:r>
      <w:r w:rsidR="00D15EF2">
        <w:t>Table 6 shows the GAHP field study sites.</w:t>
      </w:r>
    </w:p>
    <w:p w14:paraId="554567A4" w14:textId="4D90347C" w:rsidR="004B6147" w:rsidRDefault="00D15EF2" w:rsidP="004B6147">
      <w:r>
        <w:t xml:space="preserve"> </w:t>
      </w:r>
    </w:p>
    <w:p w14:paraId="212D65B7" w14:textId="4BC3814E" w:rsidR="00030BF1" w:rsidRPr="00D15EF2" w:rsidRDefault="00030BF1" w:rsidP="00D15EF2">
      <w:pPr>
        <w:pStyle w:val="Caption"/>
        <w:keepNext/>
        <w:spacing w:after="0"/>
        <w:rPr>
          <w:b/>
          <w:bCs/>
          <w:i w:val="0"/>
          <w:iCs w:val="0"/>
          <w:color w:val="auto"/>
          <w:sz w:val="20"/>
          <w:szCs w:val="20"/>
        </w:rPr>
      </w:pPr>
      <w:r w:rsidRPr="00D15EF2">
        <w:rPr>
          <w:b/>
          <w:bCs/>
          <w:i w:val="0"/>
          <w:iCs w:val="0"/>
          <w:color w:val="auto"/>
          <w:sz w:val="20"/>
          <w:szCs w:val="20"/>
        </w:rPr>
        <w:t xml:space="preserve">Table </w:t>
      </w:r>
      <w:r w:rsidR="00FB62AB">
        <w:rPr>
          <w:b/>
          <w:bCs/>
          <w:i w:val="0"/>
          <w:iCs w:val="0"/>
          <w:color w:val="auto"/>
          <w:sz w:val="20"/>
          <w:szCs w:val="20"/>
        </w:rPr>
        <w:t>7</w:t>
      </w:r>
      <w:r w:rsidRPr="00D15EF2">
        <w:rPr>
          <w:b/>
          <w:bCs/>
          <w:i w:val="0"/>
          <w:iCs w:val="0"/>
          <w:color w:val="auto"/>
          <w:sz w:val="20"/>
          <w:szCs w:val="20"/>
        </w:rPr>
        <w:t xml:space="preserve">: </w:t>
      </w:r>
      <w:r w:rsidRPr="00D15EF2">
        <w:rPr>
          <w:i w:val="0"/>
          <w:iCs w:val="0"/>
          <w:color w:val="auto"/>
          <w:sz w:val="20"/>
          <w:szCs w:val="20"/>
        </w:rPr>
        <w:t>GAHP Field Study Sites</w:t>
      </w:r>
    </w:p>
    <w:tbl>
      <w:tblPr>
        <w:tblStyle w:val="GridTable4-Accent3"/>
        <w:tblW w:w="0" w:type="auto"/>
        <w:tblLook w:val="04A0" w:firstRow="1" w:lastRow="0" w:firstColumn="1" w:lastColumn="0" w:noHBand="0" w:noVBand="1"/>
      </w:tblPr>
      <w:tblGrid>
        <w:gridCol w:w="2842"/>
        <w:gridCol w:w="2888"/>
        <w:gridCol w:w="2900"/>
      </w:tblGrid>
      <w:tr w:rsidR="0011110E" w:rsidRPr="00030BF1" w14:paraId="74F0C201" w14:textId="77777777" w:rsidTr="00D15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14:paraId="3D5FD510" w14:textId="73890EE6" w:rsidR="00AF3FCE" w:rsidRPr="00030BF1" w:rsidRDefault="00AF3FCE" w:rsidP="00374E1A">
            <w:r w:rsidRPr="00030BF1">
              <w:t xml:space="preserve">Site </w:t>
            </w:r>
          </w:p>
        </w:tc>
        <w:tc>
          <w:tcPr>
            <w:tcW w:w="2888" w:type="dxa"/>
          </w:tcPr>
          <w:p w14:paraId="207D97BD" w14:textId="6DCAA01F" w:rsidR="00AF3FCE" w:rsidRPr="00030BF1" w:rsidRDefault="00AF3FCE" w:rsidP="00374E1A">
            <w:pPr>
              <w:cnfStyle w:val="100000000000" w:firstRow="1" w:lastRow="0" w:firstColumn="0" w:lastColumn="0" w:oddVBand="0" w:evenVBand="0" w:oddHBand="0" w:evenHBand="0" w:firstRowFirstColumn="0" w:firstRowLastColumn="0" w:lastRowFirstColumn="0" w:lastRowLastColumn="0"/>
            </w:pPr>
            <w:r w:rsidRPr="00030BF1">
              <w:t xml:space="preserve">Launch </w:t>
            </w:r>
            <w:r w:rsidR="0011110E" w:rsidRPr="00030BF1">
              <w:t>Year</w:t>
            </w:r>
          </w:p>
        </w:tc>
        <w:tc>
          <w:tcPr>
            <w:tcW w:w="2900" w:type="dxa"/>
          </w:tcPr>
          <w:p w14:paraId="0D32E7BC" w14:textId="691A30C7" w:rsidR="00AF3FCE" w:rsidRPr="00030BF1" w:rsidRDefault="00AF3FCE" w:rsidP="00374E1A">
            <w:pPr>
              <w:cnfStyle w:val="100000000000" w:firstRow="1" w:lastRow="0" w:firstColumn="0" w:lastColumn="0" w:oddVBand="0" w:evenVBand="0" w:oddHBand="0" w:evenHBand="0" w:firstRowFirstColumn="0" w:firstRowLastColumn="0" w:lastRowFirstColumn="0" w:lastRowLastColumn="0"/>
            </w:pPr>
            <w:r w:rsidRPr="00030BF1">
              <w:t>Bui</w:t>
            </w:r>
            <w:r w:rsidR="0011110E" w:rsidRPr="00030BF1">
              <w:t>lding Type</w:t>
            </w:r>
          </w:p>
        </w:tc>
      </w:tr>
      <w:tr w:rsidR="0011110E" w:rsidRPr="00030BF1" w14:paraId="2D038011" w14:textId="77777777" w:rsidTr="00D1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14:paraId="534F8EBB" w14:textId="12506912" w:rsidR="00AF3FCE" w:rsidRPr="00030BF1" w:rsidRDefault="0011110E" w:rsidP="00FC1F10">
            <w:pPr>
              <w:rPr>
                <w:b w:val="0"/>
                <w:bCs w:val="0"/>
              </w:rPr>
            </w:pPr>
            <w:r w:rsidRPr="00030BF1">
              <w:rPr>
                <w:b w:val="0"/>
                <w:bCs w:val="0"/>
              </w:rPr>
              <w:t>1</w:t>
            </w:r>
          </w:p>
        </w:tc>
        <w:tc>
          <w:tcPr>
            <w:tcW w:w="2888" w:type="dxa"/>
          </w:tcPr>
          <w:p w14:paraId="2E238B34" w14:textId="4F81EC54" w:rsidR="00AF3FCE" w:rsidRPr="00030BF1" w:rsidRDefault="0011110E" w:rsidP="00FC1F10">
            <w:pPr>
              <w:cnfStyle w:val="000000100000" w:firstRow="0" w:lastRow="0" w:firstColumn="0" w:lastColumn="0" w:oddVBand="0" w:evenVBand="0" w:oddHBand="1" w:evenHBand="0" w:firstRowFirstColumn="0" w:firstRowLastColumn="0" w:lastRowFirstColumn="0" w:lastRowLastColumn="0"/>
            </w:pPr>
            <w:r w:rsidRPr="00030BF1">
              <w:t>2023</w:t>
            </w:r>
          </w:p>
        </w:tc>
        <w:tc>
          <w:tcPr>
            <w:tcW w:w="2900" w:type="dxa"/>
          </w:tcPr>
          <w:p w14:paraId="24A0199E" w14:textId="33800231" w:rsidR="00AF3FCE" w:rsidRPr="00030BF1" w:rsidRDefault="00FC1F10" w:rsidP="00FC1F10">
            <w:pPr>
              <w:cnfStyle w:val="000000100000" w:firstRow="0" w:lastRow="0" w:firstColumn="0" w:lastColumn="0" w:oddVBand="0" w:evenVBand="0" w:oddHBand="1" w:evenHBand="0" w:firstRowFirstColumn="0" w:firstRowLastColumn="0" w:lastRowFirstColumn="0" w:lastRowLastColumn="0"/>
            </w:pPr>
            <w:r w:rsidRPr="00030BF1">
              <w:t>Multifamily</w:t>
            </w:r>
          </w:p>
        </w:tc>
      </w:tr>
      <w:tr w:rsidR="0011110E" w:rsidRPr="00030BF1" w14:paraId="0213E3DD" w14:textId="77777777" w:rsidTr="00D15EF2">
        <w:tc>
          <w:tcPr>
            <w:cnfStyle w:val="001000000000" w:firstRow="0" w:lastRow="0" w:firstColumn="1" w:lastColumn="0" w:oddVBand="0" w:evenVBand="0" w:oddHBand="0" w:evenHBand="0" w:firstRowFirstColumn="0" w:firstRowLastColumn="0" w:lastRowFirstColumn="0" w:lastRowLastColumn="0"/>
            <w:tcW w:w="2842" w:type="dxa"/>
          </w:tcPr>
          <w:p w14:paraId="5F4022AA" w14:textId="54517871" w:rsidR="0011110E" w:rsidRPr="00030BF1" w:rsidRDefault="0011110E" w:rsidP="00FC1F10">
            <w:pPr>
              <w:rPr>
                <w:b w:val="0"/>
                <w:bCs w:val="0"/>
              </w:rPr>
            </w:pPr>
            <w:r w:rsidRPr="00030BF1">
              <w:rPr>
                <w:b w:val="0"/>
                <w:bCs w:val="0"/>
              </w:rPr>
              <w:t>1</w:t>
            </w:r>
            <w:r w:rsidR="00FC1F10" w:rsidRPr="00030BF1">
              <w:rPr>
                <w:b w:val="0"/>
                <w:bCs w:val="0"/>
              </w:rPr>
              <w:t>- extension</w:t>
            </w:r>
          </w:p>
        </w:tc>
        <w:tc>
          <w:tcPr>
            <w:tcW w:w="2888" w:type="dxa"/>
          </w:tcPr>
          <w:p w14:paraId="3A7EC86C" w14:textId="59A0A52A" w:rsidR="0011110E" w:rsidRPr="00030BF1" w:rsidRDefault="00FC1F10" w:rsidP="00FC1F10">
            <w:pPr>
              <w:cnfStyle w:val="000000000000" w:firstRow="0" w:lastRow="0" w:firstColumn="0" w:lastColumn="0" w:oddVBand="0" w:evenVBand="0" w:oddHBand="0" w:evenHBand="0" w:firstRowFirstColumn="0" w:firstRowLastColumn="0" w:lastRowFirstColumn="0" w:lastRowLastColumn="0"/>
            </w:pPr>
            <w:r w:rsidRPr="00030BF1">
              <w:t>2024</w:t>
            </w:r>
          </w:p>
        </w:tc>
        <w:tc>
          <w:tcPr>
            <w:tcW w:w="2900" w:type="dxa"/>
          </w:tcPr>
          <w:p w14:paraId="2CDBA9F5" w14:textId="0E11DF42" w:rsidR="0011110E" w:rsidRPr="00030BF1" w:rsidRDefault="00FC1F10" w:rsidP="00FC1F10">
            <w:pPr>
              <w:cnfStyle w:val="000000000000" w:firstRow="0" w:lastRow="0" w:firstColumn="0" w:lastColumn="0" w:oddVBand="0" w:evenVBand="0" w:oddHBand="0" w:evenHBand="0" w:firstRowFirstColumn="0" w:firstRowLastColumn="0" w:lastRowFirstColumn="0" w:lastRowLastColumn="0"/>
            </w:pPr>
            <w:r w:rsidRPr="00030BF1">
              <w:t>Multifamily</w:t>
            </w:r>
          </w:p>
        </w:tc>
      </w:tr>
      <w:tr w:rsidR="0011110E" w:rsidRPr="00030BF1" w14:paraId="7609F4A0" w14:textId="77777777" w:rsidTr="00D1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14:paraId="7A54D275" w14:textId="16CA85EC" w:rsidR="00AF3FCE" w:rsidRPr="00030BF1" w:rsidRDefault="0011110E" w:rsidP="00FC1F10">
            <w:pPr>
              <w:rPr>
                <w:b w:val="0"/>
                <w:bCs w:val="0"/>
              </w:rPr>
            </w:pPr>
            <w:r w:rsidRPr="00030BF1">
              <w:rPr>
                <w:b w:val="0"/>
                <w:bCs w:val="0"/>
              </w:rPr>
              <w:t>2</w:t>
            </w:r>
          </w:p>
        </w:tc>
        <w:tc>
          <w:tcPr>
            <w:tcW w:w="2888" w:type="dxa"/>
          </w:tcPr>
          <w:p w14:paraId="231ABAE2" w14:textId="1DD30A50" w:rsidR="00AF3FCE" w:rsidRPr="00030BF1" w:rsidRDefault="00FC1F10" w:rsidP="00FC1F10">
            <w:pPr>
              <w:cnfStyle w:val="000000100000" w:firstRow="0" w:lastRow="0" w:firstColumn="0" w:lastColumn="0" w:oddVBand="0" w:evenVBand="0" w:oddHBand="1" w:evenHBand="0" w:firstRowFirstColumn="0" w:firstRowLastColumn="0" w:lastRowFirstColumn="0" w:lastRowLastColumn="0"/>
            </w:pPr>
            <w:r w:rsidRPr="00030BF1">
              <w:t>2024</w:t>
            </w:r>
          </w:p>
        </w:tc>
        <w:tc>
          <w:tcPr>
            <w:tcW w:w="2900" w:type="dxa"/>
          </w:tcPr>
          <w:p w14:paraId="538024A0" w14:textId="19C3F015" w:rsidR="00AF3FCE" w:rsidRPr="00030BF1" w:rsidRDefault="00FC1F10" w:rsidP="00FC1F10">
            <w:pPr>
              <w:cnfStyle w:val="000000100000" w:firstRow="0" w:lastRow="0" w:firstColumn="0" w:lastColumn="0" w:oddVBand="0" w:evenVBand="0" w:oddHBand="1" w:evenHBand="0" w:firstRowFirstColumn="0" w:firstRowLastColumn="0" w:lastRowFirstColumn="0" w:lastRowLastColumn="0"/>
            </w:pPr>
            <w:r w:rsidRPr="00030BF1">
              <w:t>Hotel</w:t>
            </w:r>
          </w:p>
        </w:tc>
      </w:tr>
      <w:tr w:rsidR="0011110E" w:rsidRPr="00030BF1" w14:paraId="6B968778" w14:textId="77777777" w:rsidTr="00D15EF2">
        <w:tc>
          <w:tcPr>
            <w:cnfStyle w:val="001000000000" w:firstRow="0" w:lastRow="0" w:firstColumn="1" w:lastColumn="0" w:oddVBand="0" w:evenVBand="0" w:oddHBand="0" w:evenHBand="0" w:firstRowFirstColumn="0" w:firstRowLastColumn="0" w:lastRowFirstColumn="0" w:lastRowLastColumn="0"/>
            <w:tcW w:w="2842" w:type="dxa"/>
          </w:tcPr>
          <w:p w14:paraId="76FA8A8B" w14:textId="377199A5" w:rsidR="00AF3FCE" w:rsidRPr="00030BF1" w:rsidRDefault="0011110E" w:rsidP="00374E1A">
            <w:pPr>
              <w:rPr>
                <w:b w:val="0"/>
                <w:bCs w:val="0"/>
              </w:rPr>
            </w:pPr>
            <w:r w:rsidRPr="00030BF1">
              <w:rPr>
                <w:b w:val="0"/>
                <w:bCs w:val="0"/>
              </w:rPr>
              <w:t>3</w:t>
            </w:r>
          </w:p>
        </w:tc>
        <w:tc>
          <w:tcPr>
            <w:tcW w:w="2888" w:type="dxa"/>
          </w:tcPr>
          <w:p w14:paraId="04A1F069" w14:textId="0A577586" w:rsidR="00AF3FCE" w:rsidRPr="00030BF1" w:rsidRDefault="00C47EA2" w:rsidP="00374E1A">
            <w:pPr>
              <w:cnfStyle w:val="000000000000" w:firstRow="0" w:lastRow="0" w:firstColumn="0" w:lastColumn="0" w:oddVBand="0" w:evenVBand="0" w:oddHBand="0" w:evenHBand="0" w:firstRowFirstColumn="0" w:firstRowLastColumn="0" w:lastRowFirstColumn="0" w:lastRowLastColumn="0"/>
            </w:pPr>
            <w:r w:rsidRPr="00030BF1">
              <w:t>2025</w:t>
            </w:r>
          </w:p>
        </w:tc>
        <w:tc>
          <w:tcPr>
            <w:tcW w:w="2900" w:type="dxa"/>
          </w:tcPr>
          <w:p w14:paraId="53908DA3" w14:textId="5E9E77F9" w:rsidR="00AF3FCE" w:rsidRPr="00030BF1" w:rsidRDefault="00C47EA2" w:rsidP="00374E1A">
            <w:pPr>
              <w:cnfStyle w:val="000000000000" w:firstRow="0" w:lastRow="0" w:firstColumn="0" w:lastColumn="0" w:oddVBand="0" w:evenVBand="0" w:oddHBand="0" w:evenHBand="0" w:firstRowFirstColumn="0" w:firstRowLastColumn="0" w:lastRowFirstColumn="0" w:lastRowLastColumn="0"/>
            </w:pPr>
            <w:r w:rsidRPr="00030BF1">
              <w:t>Multifamily</w:t>
            </w:r>
          </w:p>
        </w:tc>
      </w:tr>
      <w:tr w:rsidR="0011110E" w:rsidRPr="00030BF1" w14:paraId="5AF22F8C" w14:textId="77777777" w:rsidTr="00D1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2" w:type="dxa"/>
          </w:tcPr>
          <w:p w14:paraId="08D7FDF5" w14:textId="3606A8B8" w:rsidR="00AF3FCE" w:rsidRPr="00030BF1" w:rsidRDefault="0011110E" w:rsidP="00374E1A">
            <w:pPr>
              <w:rPr>
                <w:b w:val="0"/>
                <w:bCs w:val="0"/>
              </w:rPr>
            </w:pPr>
            <w:r w:rsidRPr="00030BF1">
              <w:rPr>
                <w:b w:val="0"/>
                <w:bCs w:val="0"/>
              </w:rPr>
              <w:t>4</w:t>
            </w:r>
          </w:p>
        </w:tc>
        <w:tc>
          <w:tcPr>
            <w:tcW w:w="2888" w:type="dxa"/>
          </w:tcPr>
          <w:p w14:paraId="6136611D" w14:textId="4086E847" w:rsidR="00AF3FCE" w:rsidRPr="00030BF1" w:rsidRDefault="00C47EA2" w:rsidP="00374E1A">
            <w:pPr>
              <w:cnfStyle w:val="000000100000" w:firstRow="0" w:lastRow="0" w:firstColumn="0" w:lastColumn="0" w:oddVBand="0" w:evenVBand="0" w:oddHBand="1" w:evenHBand="0" w:firstRowFirstColumn="0" w:firstRowLastColumn="0" w:lastRowFirstColumn="0" w:lastRowLastColumn="0"/>
            </w:pPr>
            <w:r w:rsidRPr="00030BF1">
              <w:t>2025</w:t>
            </w:r>
          </w:p>
        </w:tc>
        <w:tc>
          <w:tcPr>
            <w:tcW w:w="2900" w:type="dxa"/>
          </w:tcPr>
          <w:p w14:paraId="7E388FD1" w14:textId="7C0A65A2" w:rsidR="00AF3FCE" w:rsidRPr="00030BF1" w:rsidRDefault="00C47EA2" w:rsidP="00374E1A">
            <w:pPr>
              <w:cnfStyle w:val="000000100000" w:firstRow="0" w:lastRow="0" w:firstColumn="0" w:lastColumn="0" w:oddVBand="0" w:evenVBand="0" w:oddHBand="1" w:evenHBand="0" w:firstRowFirstColumn="0" w:firstRowLastColumn="0" w:lastRowFirstColumn="0" w:lastRowLastColumn="0"/>
            </w:pPr>
            <w:r w:rsidRPr="00030BF1">
              <w:t>Hotel</w:t>
            </w:r>
          </w:p>
        </w:tc>
      </w:tr>
    </w:tbl>
    <w:p w14:paraId="149827CF" w14:textId="77777777" w:rsidR="002E69E5" w:rsidRDefault="002E69E5" w:rsidP="002E69E5"/>
    <w:p w14:paraId="5872F274" w14:textId="77777777" w:rsidR="002E69E5" w:rsidRDefault="002E69E5" w:rsidP="002E69E5">
      <w:r w:rsidRPr="002E69E5">
        <w:t>Across all sites, the field studies will:</w:t>
      </w:r>
    </w:p>
    <w:p w14:paraId="69A74406" w14:textId="14F05AD5" w:rsidR="002E69E5" w:rsidRDefault="002E69E5" w:rsidP="001970D3">
      <w:pPr>
        <w:spacing w:before="240" w:after="240"/>
        <w:ind w:left="720"/>
      </w:pPr>
      <w:r w:rsidRPr="002E69E5">
        <w:t>• Determine the coefficient of performance (COP) of both the baseline domestic hot-water (DHW) systems and post-installation GAHP systems serving the base load;</w:t>
      </w:r>
      <w:r w:rsidRPr="002E69E5">
        <w:br/>
        <w:t>• Quantify greenhouse-gas (GHG) impacts relative to an electric heat-pump water heater; and</w:t>
      </w:r>
      <w:r w:rsidRPr="002E69E5">
        <w:br/>
        <w:t>• Analyze operational costs, efficiency, and reliability under real-world conditions.</w:t>
      </w:r>
    </w:p>
    <w:p w14:paraId="147955C7" w14:textId="5BE2F947" w:rsidR="00B049B1" w:rsidRDefault="002E69E5" w:rsidP="00F76318">
      <w:r w:rsidRPr="002E69E5">
        <w:t xml:space="preserve">Results will be compared with laboratory data to verify performance consistency and identify </w:t>
      </w:r>
      <w:proofErr w:type="gramStart"/>
      <w:r w:rsidRPr="002E69E5">
        <w:t>installation and maintenance best</w:t>
      </w:r>
      <w:proofErr w:type="gramEnd"/>
      <w:r w:rsidRPr="002E69E5">
        <w:t xml:space="preserve"> practices. Lessons learned</w:t>
      </w:r>
      <w:r w:rsidR="00D15EF2">
        <w:t xml:space="preserve">, </w:t>
      </w:r>
      <w:r w:rsidRPr="002E69E5">
        <w:t>particularly from the Site 4 hotel application</w:t>
      </w:r>
      <w:r w:rsidR="00D15EF2">
        <w:t xml:space="preserve">, </w:t>
      </w:r>
      <w:r w:rsidRPr="002E69E5">
        <w:t>will inform SoCalGas and participating contractors, supporting future GAHP deployments in DHW-only applications. This work will continue through 2026, with site-level performance compared against preliminary sizing data to refine design and implementation guidance.</w:t>
      </w:r>
      <w:r w:rsidR="00D15EF2">
        <w:t xml:space="preserve"> </w:t>
      </w:r>
      <w:r w:rsidR="006277E2">
        <w:t>Th</w:t>
      </w:r>
      <w:r w:rsidR="00AA6204">
        <w:t>e 202</w:t>
      </w:r>
      <w:r w:rsidR="00015EF3">
        <w:t>6</w:t>
      </w:r>
      <w:r w:rsidR="006277E2">
        <w:t xml:space="preserve"> objectives are listed below:</w:t>
      </w:r>
    </w:p>
    <w:p w14:paraId="72D0E5FF" w14:textId="77777777" w:rsidR="00D85B0E" w:rsidRDefault="00D85B0E" w:rsidP="00F76318"/>
    <w:p w14:paraId="692E7957" w14:textId="762CE7A8" w:rsidR="00F76318" w:rsidRDefault="00D85B0E" w:rsidP="0041184C">
      <w:pPr>
        <w:pStyle w:val="Heading4"/>
      </w:pPr>
      <w:r>
        <w:lastRenderedPageBreak/>
        <w:t>Objectives</w:t>
      </w:r>
      <w:r w:rsidR="00FA4E88">
        <w:t xml:space="preserve"> </w:t>
      </w:r>
    </w:p>
    <w:p w14:paraId="03002D55" w14:textId="4D6E481D" w:rsidR="006D1750" w:rsidRDefault="00D85B0E" w:rsidP="00AA34F5">
      <w:pPr>
        <w:pStyle w:val="ListParagraph"/>
        <w:numPr>
          <w:ilvl w:val="0"/>
          <w:numId w:val="8"/>
        </w:numPr>
      </w:pPr>
      <w:r>
        <w:t xml:space="preserve">Create </w:t>
      </w:r>
      <w:r w:rsidR="003223A2">
        <w:t xml:space="preserve">steady state and dynamic </w:t>
      </w:r>
      <w:r>
        <w:t>performance curves for gas-fired heat pump technologies via lab work</w:t>
      </w:r>
      <w:r w:rsidR="006C4332">
        <w:t xml:space="preserve"> by </w:t>
      </w:r>
      <w:r w:rsidR="006C4332" w:rsidRPr="006C4332">
        <w:t>collect</w:t>
      </w:r>
      <w:r w:rsidR="006C4332">
        <w:t>ing</w:t>
      </w:r>
      <w:r w:rsidR="006C4332" w:rsidRPr="006C4332">
        <w:t xml:space="preserve"> data from natural gas and hydrogen blends</w:t>
      </w:r>
      <w:r w:rsidR="00A15082">
        <w:t>.</w:t>
      </w:r>
    </w:p>
    <w:p w14:paraId="25F1C2D1" w14:textId="6F319382" w:rsidR="006D1750" w:rsidRDefault="006D1750" w:rsidP="00AA34F5">
      <w:pPr>
        <w:pStyle w:val="ListParagraph"/>
        <w:numPr>
          <w:ilvl w:val="0"/>
          <w:numId w:val="8"/>
        </w:numPr>
      </w:pPr>
      <w:r>
        <w:t>Generate operational understanding of gas heat pump technologies a</w:t>
      </w:r>
      <w:r w:rsidR="00037815">
        <w:t>s</w:t>
      </w:r>
      <w:r>
        <w:t xml:space="preserve"> required for the measure package update and to </w:t>
      </w:r>
      <w:r w:rsidR="003223A2">
        <w:t xml:space="preserve">better understand system sizing, </w:t>
      </w:r>
      <w:r w:rsidR="00037815">
        <w:t xml:space="preserve">real time operational issues, and </w:t>
      </w:r>
      <w:r w:rsidR="00284FD6">
        <w:t xml:space="preserve">provide </w:t>
      </w:r>
      <w:r w:rsidR="00AA7983">
        <w:t>an understanding of hourly CO</w:t>
      </w:r>
      <w:r w:rsidR="00AA7983" w:rsidRPr="00AA7983">
        <w:rPr>
          <w:vertAlign w:val="subscript"/>
        </w:rPr>
        <w:t>2</w:t>
      </w:r>
      <w:r w:rsidR="00AA7983">
        <w:t xml:space="preserve"> emissions from realistic operating patterns.</w:t>
      </w:r>
    </w:p>
    <w:p w14:paraId="743B1E07" w14:textId="41A2AD49" w:rsidR="00D85B0E" w:rsidRDefault="00D85B0E" w:rsidP="00AA34F5">
      <w:pPr>
        <w:pStyle w:val="ListParagraph"/>
        <w:numPr>
          <w:ilvl w:val="0"/>
          <w:numId w:val="8"/>
        </w:numPr>
      </w:pPr>
      <w:r>
        <w:t xml:space="preserve">Gather gas-fired heat pump </w:t>
      </w:r>
      <w:r w:rsidR="004F7B23">
        <w:t>system</w:t>
      </w:r>
      <w:r w:rsidR="00267145">
        <w:t xml:space="preserve"> desig</w:t>
      </w:r>
      <w:r w:rsidR="004F7B23">
        <w:t>n</w:t>
      </w:r>
      <w:r w:rsidR="00267145">
        <w:t xml:space="preserve"> </w:t>
      </w:r>
      <w:r w:rsidR="001F2F71">
        <w:t xml:space="preserve">sizing, </w:t>
      </w:r>
      <w:r>
        <w:t>and installation cost data</w:t>
      </w:r>
      <w:r w:rsidR="003612C1">
        <w:t>.</w:t>
      </w:r>
      <w:r>
        <w:t xml:space="preserve"> </w:t>
      </w:r>
    </w:p>
    <w:p w14:paraId="1AFBD740" w14:textId="592350E8" w:rsidR="00D85B0E" w:rsidRDefault="00D85B0E" w:rsidP="00AA34F5">
      <w:pPr>
        <w:pStyle w:val="ListParagraph"/>
        <w:numPr>
          <w:ilvl w:val="0"/>
          <w:numId w:val="8"/>
        </w:numPr>
      </w:pPr>
      <w:r>
        <w:t>Gather other information on gas-fired heat pumps to facilitate technology transfer to EE programs such as</w:t>
      </w:r>
      <w:r w:rsidR="0033359C">
        <w:t>:</w:t>
      </w:r>
    </w:p>
    <w:p w14:paraId="4A7D6A85" w14:textId="77777777" w:rsidR="00D85B0E" w:rsidRDefault="00D85B0E" w:rsidP="00AA34F5">
      <w:pPr>
        <w:pStyle w:val="ListParagraph"/>
        <w:numPr>
          <w:ilvl w:val="1"/>
          <w:numId w:val="8"/>
        </w:numPr>
      </w:pPr>
      <w:r>
        <w:t>Typical applications</w:t>
      </w:r>
    </w:p>
    <w:p w14:paraId="486C59F7" w14:textId="77777777" w:rsidR="00D85B0E" w:rsidRDefault="00D85B0E" w:rsidP="00AA34F5">
      <w:pPr>
        <w:pStyle w:val="ListParagraph"/>
        <w:numPr>
          <w:ilvl w:val="1"/>
          <w:numId w:val="8"/>
        </w:numPr>
      </w:pPr>
      <w:r>
        <w:t>Typical installation configurations</w:t>
      </w:r>
    </w:p>
    <w:p w14:paraId="7FC436E9" w14:textId="77777777" w:rsidR="00D85B0E" w:rsidRDefault="00D85B0E" w:rsidP="00AA34F5">
      <w:pPr>
        <w:pStyle w:val="ListParagraph"/>
        <w:numPr>
          <w:ilvl w:val="1"/>
          <w:numId w:val="8"/>
        </w:numPr>
      </w:pPr>
      <w:r>
        <w:t>Typical maintenance requirements</w:t>
      </w:r>
    </w:p>
    <w:p w14:paraId="6956E594" w14:textId="11637A9D" w:rsidR="00677C6B" w:rsidRDefault="00D85B0E" w:rsidP="00AA34F5">
      <w:pPr>
        <w:pStyle w:val="ListParagraph"/>
        <w:numPr>
          <w:ilvl w:val="1"/>
          <w:numId w:val="8"/>
        </w:numPr>
      </w:pPr>
      <w:r>
        <w:t>Required installation and maintenance contractor training</w:t>
      </w:r>
    </w:p>
    <w:p w14:paraId="396C03AF" w14:textId="54968580" w:rsidR="00615E3E" w:rsidRDefault="00615E3E" w:rsidP="00AA34F5">
      <w:pPr>
        <w:pStyle w:val="ListParagraph"/>
        <w:numPr>
          <w:ilvl w:val="1"/>
          <w:numId w:val="8"/>
        </w:numPr>
      </w:pPr>
      <w:r>
        <w:t>Case studies of successful field studies</w:t>
      </w:r>
    </w:p>
    <w:p w14:paraId="54FEE784" w14:textId="55314A70" w:rsidR="00F76318" w:rsidRDefault="00D85B0E" w:rsidP="00AA34F5">
      <w:pPr>
        <w:pStyle w:val="ListParagraph"/>
        <w:numPr>
          <w:ilvl w:val="0"/>
          <w:numId w:val="8"/>
        </w:numPr>
      </w:pPr>
      <w:r>
        <w:t>Create CO</w:t>
      </w:r>
      <w:r w:rsidRPr="002B3850">
        <w:rPr>
          <w:vertAlign w:val="subscript"/>
        </w:rPr>
        <w:t>2</w:t>
      </w:r>
      <w:r>
        <w:t xml:space="preserve"> </w:t>
      </w:r>
      <w:r w:rsidR="004F7B23">
        <w:t xml:space="preserve">hourly </w:t>
      </w:r>
      <w:r>
        <w:t>load shapes for gas-fired heat pumps</w:t>
      </w:r>
      <w:r w:rsidR="004F7B23">
        <w:t xml:space="preserve"> relative to electric heat pumps</w:t>
      </w:r>
      <w:r w:rsidR="0033359C">
        <w:t>.</w:t>
      </w:r>
    </w:p>
    <w:p w14:paraId="12C655F1" w14:textId="77777777" w:rsidR="00084E37" w:rsidRDefault="00084E37" w:rsidP="009C01DD"/>
    <w:p w14:paraId="14897B3E" w14:textId="384D0E46" w:rsidR="008550D1" w:rsidRPr="006125C5" w:rsidRDefault="008550D1" w:rsidP="00541AD4">
      <w:pPr>
        <w:pStyle w:val="Heading3"/>
      </w:pPr>
      <w:bookmarkStart w:id="10" w:name="_Toc213213547"/>
      <w:r w:rsidRPr="006125C5">
        <w:t xml:space="preserve">Goal </w:t>
      </w:r>
      <w:r w:rsidR="00CA29EE" w:rsidRPr="006125C5">
        <w:t>1.</w:t>
      </w:r>
      <w:r w:rsidR="00EB42F5" w:rsidRPr="006125C5">
        <w:t>3</w:t>
      </w:r>
      <w:r w:rsidRPr="006125C5">
        <w:t>:</w:t>
      </w:r>
      <w:r w:rsidR="006125C5" w:rsidRPr="006125C5">
        <w:t xml:space="preserve"> Advance</w:t>
      </w:r>
      <w:r w:rsidRPr="006125C5">
        <w:t xml:space="preserve"> </w:t>
      </w:r>
      <w:r w:rsidR="004A63C0" w:rsidRPr="006125C5">
        <w:t xml:space="preserve">modeling </w:t>
      </w:r>
      <w:r w:rsidR="006125C5" w:rsidRPr="00C46A2D">
        <w:t xml:space="preserve">and </w:t>
      </w:r>
      <w:r w:rsidR="006125C5" w:rsidRPr="006125C5">
        <w:t>d</w:t>
      </w:r>
      <w:r w:rsidR="006125C5" w:rsidRPr="00C46A2D">
        <w:t xml:space="preserve">esign </w:t>
      </w:r>
      <w:r w:rsidR="006125C5" w:rsidRPr="006125C5">
        <w:t>t</w:t>
      </w:r>
      <w:r w:rsidR="006125C5" w:rsidRPr="00C46A2D">
        <w:t xml:space="preserve">ools for </w:t>
      </w:r>
      <w:r w:rsidR="006125C5" w:rsidRPr="006125C5">
        <w:t>e</w:t>
      </w:r>
      <w:r w:rsidR="006125C5" w:rsidRPr="00C46A2D">
        <w:t xml:space="preserve">merging GAHP </w:t>
      </w:r>
      <w:r w:rsidR="00BB3686" w:rsidRPr="006125C5">
        <w:t>technologies</w:t>
      </w:r>
      <w:bookmarkEnd w:id="10"/>
      <w:r w:rsidR="00BB3686" w:rsidRPr="006125C5">
        <w:t xml:space="preserve"> </w:t>
      </w:r>
    </w:p>
    <w:p w14:paraId="64C5CB97" w14:textId="77777777" w:rsidR="002B1145" w:rsidRPr="00237A23" w:rsidRDefault="002B1145" w:rsidP="002B1145">
      <w:pPr>
        <w:pStyle w:val="NormalWeb"/>
        <w:rPr>
          <w:rFonts w:asciiTheme="minorHAnsi" w:hAnsiTheme="minorHAnsi" w:cstheme="minorHAnsi"/>
          <w:sz w:val="22"/>
          <w:szCs w:val="22"/>
        </w:rPr>
      </w:pPr>
      <w:r w:rsidRPr="00237A23">
        <w:rPr>
          <w:rFonts w:asciiTheme="minorHAnsi" w:hAnsiTheme="minorHAnsi" w:cstheme="minorHAnsi"/>
          <w:sz w:val="22"/>
          <w:szCs w:val="22"/>
        </w:rPr>
        <w:t xml:space="preserve">The Program is advancing modeling and design capabilities to support widespread deployment of gas absorption heat pump (GAHP) and water-heating technologies. This combined effort (formerly Goals 1.3 and 1.5) strengthens both the analytical foundation through </w:t>
      </w:r>
      <w:proofErr w:type="spellStart"/>
      <w:r w:rsidRPr="00237A23">
        <w:rPr>
          <w:rFonts w:asciiTheme="minorHAnsi" w:hAnsiTheme="minorHAnsi" w:cstheme="minorHAnsi"/>
          <w:sz w:val="22"/>
          <w:szCs w:val="22"/>
        </w:rPr>
        <w:t>EnergyPlus</w:t>
      </w:r>
      <w:proofErr w:type="spellEnd"/>
      <w:r w:rsidRPr="00237A23">
        <w:rPr>
          <w:rFonts w:asciiTheme="minorHAnsi" w:hAnsiTheme="minorHAnsi" w:cstheme="minorHAnsi"/>
          <w:sz w:val="22"/>
          <w:szCs w:val="22"/>
        </w:rPr>
        <w:t xml:space="preserve"> model development and the practical design guidance provided by the GAHP Design Tool.</w:t>
      </w:r>
    </w:p>
    <w:p w14:paraId="132044DD" w14:textId="77777777" w:rsidR="002B1145" w:rsidRPr="00237A23" w:rsidRDefault="002B1145" w:rsidP="002B1145">
      <w:pPr>
        <w:pStyle w:val="NormalWeb"/>
        <w:rPr>
          <w:rFonts w:asciiTheme="minorHAnsi" w:hAnsiTheme="minorHAnsi" w:cstheme="minorHAnsi"/>
          <w:sz w:val="22"/>
          <w:szCs w:val="22"/>
        </w:rPr>
      </w:pPr>
      <w:r w:rsidRPr="00237A23">
        <w:rPr>
          <w:rFonts w:asciiTheme="minorHAnsi" w:hAnsiTheme="minorHAnsi" w:cstheme="minorHAnsi"/>
          <w:sz w:val="22"/>
          <w:szCs w:val="22"/>
        </w:rPr>
        <w:t xml:space="preserve">Measure Package SWWW033 was originally developed to document deemed savings for gas-fired absorption heat pump water heaters using multiple modeling tools, since none could fully represent GAHP performance. The DEER prototypes used then were based on </w:t>
      </w:r>
      <w:proofErr w:type="spellStart"/>
      <w:r w:rsidRPr="00237A23">
        <w:rPr>
          <w:rFonts w:asciiTheme="minorHAnsi" w:hAnsiTheme="minorHAnsi" w:cstheme="minorHAnsi"/>
          <w:sz w:val="22"/>
          <w:szCs w:val="22"/>
        </w:rPr>
        <w:t>eQUEST</w:t>
      </w:r>
      <w:proofErr w:type="spellEnd"/>
      <w:r w:rsidRPr="00237A23">
        <w:rPr>
          <w:rFonts w:asciiTheme="minorHAnsi" w:hAnsiTheme="minorHAnsi" w:cstheme="minorHAnsi"/>
          <w:sz w:val="22"/>
          <w:szCs w:val="22"/>
        </w:rPr>
        <w:t xml:space="preserve"> (DOE 2.1) and have now been replaced. In 2023, </w:t>
      </w:r>
      <w:proofErr w:type="spellStart"/>
      <w:r w:rsidRPr="00237A23">
        <w:rPr>
          <w:rFonts w:asciiTheme="minorHAnsi" w:hAnsiTheme="minorHAnsi" w:cstheme="minorHAnsi"/>
          <w:sz w:val="22"/>
          <w:szCs w:val="22"/>
        </w:rPr>
        <w:t>EnergyPlus</w:t>
      </w:r>
      <w:proofErr w:type="spellEnd"/>
      <w:r w:rsidRPr="00237A23">
        <w:rPr>
          <w:rFonts w:asciiTheme="minorHAnsi" w:hAnsiTheme="minorHAnsi" w:cstheme="minorHAnsi"/>
          <w:sz w:val="22"/>
          <w:szCs w:val="22"/>
        </w:rPr>
        <w:t xml:space="preserve"> introduced a gas air-cooled heat pump object, and the </w:t>
      </w:r>
      <w:proofErr w:type="spellStart"/>
      <w:r w:rsidRPr="00237A23">
        <w:rPr>
          <w:rFonts w:asciiTheme="minorHAnsi" w:hAnsiTheme="minorHAnsi" w:cstheme="minorHAnsi"/>
          <w:sz w:val="22"/>
          <w:szCs w:val="22"/>
        </w:rPr>
        <w:t>eTRM</w:t>
      </w:r>
      <w:proofErr w:type="spellEnd"/>
      <w:r w:rsidRPr="00237A23">
        <w:rPr>
          <w:rFonts w:asciiTheme="minorHAnsi" w:hAnsiTheme="minorHAnsi" w:cstheme="minorHAnsi"/>
          <w:sz w:val="22"/>
          <w:szCs w:val="22"/>
        </w:rPr>
        <w:t xml:space="preserve"> building prototypes were updated accordingly, enabling improved modeling of GAHP systems.</w:t>
      </w:r>
    </w:p>
    <w:p w14:paraId="57FE8011" w14:textId="77777777" w:rsidR="002B1145" w:rsidRPr="00237A23" w:rsidRDefault="002B1145" w:rsidP="002B1145">
      <w:pPr>
        <w:pStyle w:val="NormalWeb"/>
        <w:rPr>
          <w:rFonts w:asciiTheme="minorHAnsi" w:hAnsiTheme="minorHAnsi" w:cstheme="minorHAnsi"/>
          <w:sz w:val="22"/>
          <w:szCs w:val="22"/>
        </w:rPr>
      </w:pPr>
      <w:r w:rsidRPr="00237A23">
        <w:rPr>
          <w:rFonts w:asciiTheme="minorHAnsi" w:hAnsiTheme="minorHAnsi" w:cstheme="minorHAnsi"/>
          <w:sz w:val="22"/>
          <w:szCs w:val="22"/>
        </w:rPr>
        <w:t xml:space="preserve">The Program is now testing the GTI-developed </w:t>
      </w:r>
      <w:proofErr w:type="spellStart"/>
      <w:r w:rsidRPr="00237A23">
        <w:rPr>
          <w:rFonts w:asciiTheme="minorHAnsi" w:hAnsiTheme="minorHAnsi" w:cstheme="minorHAnsi"/>
          <w:sz w:val="22"/>
          <w:szCs w:val="22"/>
        </w:rPr>
        <w:t>EnergyPlus</w:t>
      </w:r>
      <w:proofErr w:type="spellEnd"/>
      <w:r w:rsidRPr="00237A23">
        <w:rPr>
          <w:rFonts w:asciiTheme="minorHAnsi" w:hAnsiTheme="minorHAnsi" w:cstheme="minorHAnsi"/>
          <w:sz w:val="22"/>
          <w:szCs w:val="22"/>
        </w:rPr>
        <w:t xml:space="preserve"> GAHP model with laboratory and field data to refine its accuracy. Initial testing has revealed coding issues and informed best practices for modeling real-world domestic hot-water (DHW) and space-heating systems—especially in multifamily settings. Work will continue through 2026, including dissemination of modeling guidance and calibration results.</w:t>
      </w:r>
    </w:p>
    <w:p w14:paraId="5983E557" w14:textId="77777777" w:rsidR="002B1145" w:rsidRPr="00237A23" w:rsidRDefault="002B1145" w:rsidP="002B1145">
      <w:pPr>
        <w:pStyle w:val="NormalWeb"/>
        <w:rPr>
          <w:rFonts w:asciiTheme="minorHAnsi" w:hAnsiTheme="minorHAnsi" w:cstheme="minorHAnsi"/>
          <w:sz w:val="22"/>
          <w:szCs w:val="22"/>
        </w:rPr>
      </w:pPr>
      <w:r w:rsidRPr="00237A23">
        <w:rPr>
          <w:rFonts w:asciiTheme="minorHAnsi" w:hAnsiTheme="minorHAnsi" w:cstheme="minorHAnsi"/>
          <w:sz w:val="22"/>
          <w:szCs w:val="22"/>
        </w:rPr>
        <w:t>In parallel, the GAHP Design Tool is being developed to improve system configuration, performance, and reliability across multifamily and commercial applications. Phase 1 began in 2025, integrating lab and field data to address design and integration challenges observed in earlier demonstrations. Phase 2, planned for 2026, will finalize algorithms and the user interface, add manufacturer datasets (Robur, SMTI, Vicot), and produce documentation, case studies, and installation guidance. Dissemination through the North American Gas Heat Pump Collaborative (NAGHPC) and related forums will promote consistent design practices and broader adoption.</w:t>
      </w:r>
    </w:p>
    <w:p w14:paraId="34021A4A" w14:textId="393A230F" w:rsidR="002B1145" w:rsidRPr="00237A23" w:rsidRDefault="002B1145" w:rsidP="002B1145">
      <w:pPr>
        <w:pStyle w:val="NormalWeb"/>
        <w:rPr>
          <w:rFonts w:asciiTheme="minorHAnsi" w:hAnsiTheme="minorHAnsi" w:cstheme="minorHAnsi"/>
          <w:sz w:val="22"/>
          <w:szCs w:val="22"/>
        </w:rPr>
      </w:pPr>
      <w:r w:rsidRPr="00237A23">
        <w:rPr>
          <w:rFonts w:asciiTheme="minorHAnsi" w:hAnsiTheme="minorHAnsi" w:cstheme="minorHAnsi"/>
          <w:sz w:val="22"/>
          <w:szCs w:val="22"/>
        </w:rPr>
        <w:lastRenderedPageBreak/>
        <w:t>These activities will also inform policymakers as forthcoming code and policy changes—and NAGHPC market efforts—shape future adoption pathways. Due to schedule shifts in field and laboratory work, several objectives from 2025 remain active through 2026.</w:t>
      </w:r>
    </w:p>
    <w:p w14:paraId="4FB760FF" w14:textId="77777777" w:rsidR="002B1145" w:rsidRPr="00ED1CCB" w:rsidRDefault="002B1145" w:rsidP="002B1145">
      <w:pPr>
        <w:pStyle w:val="NormalWeb"/>
        <w:rPr>
          <w:rFonts w:asciiTheme="majorHAnsi" w:hAnsiTheme="majorHAnsi" w:cstheme="minorHAnsi"/>
          <w:b/>
          <w:bCs/>
          <w:i/>
          <w:iCs/>
        </w:rPr>
      </w:pPr>
      <w:r w:rsidRPr="00ED1CCB">
        <w:rPr>
          <w:rStyle w:val="Strong"/>
          <w:rFonts w:asciiTheme="majorHAnsi" w:hAnsiTheme="majorHAnsi" w:cstheme="minorHAnsi"/>
          <w:b w:val="0"/>
          <w:bCs w:val="0"/>
          <w:i/>
          <w:iCs/>
        </w:rPr>
        <w:t>Objectives</w:t>
      </w:r>
    </w:p>
    <w:p w14:paraId="491107DA" w14:textId="77777777" w:rsidR="002B1145" w:rsidRPr="00237A23" w:rsidRDefault="002B1145" w:rsidP="008E6BE8">
      <w:pPr>
        <w:pStyle w:val="NormalWeb"/>
        <w:numPr>
          <w:ilvl w:val="0"/>
          <w:numId w:val="36"/>
        </w:numPr>
        <w:spacing w:line="276" w:lineRule="auto"/>
        <w:rPr>
          <w:rFonts w:asciiTheme="minorHAnsi" w:hAnsiTheme="minorHAnsi" w:cstheme="minorHAnsi"/>
          <w:sz w:val="22"/>
          <w:szCs w:val="22"/>
        </w:rPr>
      </w:pPr>
      <w:r w:rsidRPr="00237A23">
        <w:rPr>
          <w:rFonts w:asciiTheme="minorHAnsi" w:hAnsiTheme="minorHAnsi" w:cstheme="minorHAnsi"/>
          <w:sz w:val="22"/>
          <w:szCs w:val="22"/>
        </w:rPr>
        <w:t xml:space="preserve">Test and calibrate the GTI-developed </w:t>
      </w:r>
      <w:proofErr w:type="spellStart"/>
      <w:r w:rsidRPr="00237A23">
        <w:rPr>
          <w:rFonts w:asciiTheme="minorHAnsi" w:hAnsiTheme="minorHAnsi" w:cstheme="minorHAnsi"/>
          <w:sz w:val="22"/>
          <w:szCs w:val="22"/>
        </w:rPr>
        <w:t>EnergyPlus</w:t>
      </w:r>
      <w:proofErr w:type="spellEnd"/>
      <w:r w:rsidRPr="00237A23">
        <w:rPr>
          <w:rFonts w:asciiTheme="minorHAnsi" w:hAnsiTheme="minorHAnsi" w:cstheme="minorHAnsi"/>
          <w:sz w:val="22"/>
          <w:szCs w:val="22"/>
        </w:rPr>
        <w:t xml:space="preserve"> GAHP model using laboratory and field data.</w:t>
      </w:r>
    </w:p>
    <w:p w14:paraId="2D6721A5" w14:textId="77777777" w:rsidR="002B1145" w:rsidRPr="00237A23" w:rsidRDefault="002B1145" w:rsidP="008E6BE8">
      <w:pPr>
        <w:pStyle w:val="NormalWeb"/>
        <w:numPr>
          <w:ilvl w:val="0"/>
          <w:numId w:val="36"/>
        </w:numPr>
        <w:spacing w:line="276" w:lineRule="auto"/>
        <w:rPr>
          <w:rFonts w:asciiTheme="minorHAnsi" w:hAnsiTheme="minorHAnsi" w:cstheme="minorHAnsi"/>
          <w:sz w:val="22"/>
          <w:szCs w:val="22"/>
        </w:rPr>
      </w:pPr>
      <w:r w:rsidRPr="00237A23">
        <w:rPr>
          <w:rFonts w:asciiTheme="minorHAnsi" w:hAnsiTheme="minorHAnsi" w:cstheme="minorHAnsi"/>
          <w:sz w:val="22"/>
          <w:szCs w:val="22"/>
        </w:rPr>
        <w:t>Refine the GAHP Design Tool to improve usability, accuracy, and interface functionality.</w:t>
      </w:r>
    </w:p>
    <w:p w14:paraId="68827C8C" w14:textId="77777777" w:rsidR="002B1145" w:rsidRPr="00237A23" w:rsidRDefault="002B1145" w:rsidP="008E6BE8">
      <w:pPr>
        <w:pStyle w:val="NormalWeb"/>
        <w:numPr>
          <w:ilvl w:val="0"/>
          <w:numId w:val="36"/>
        </w:numPr>
        <w:spacing w:line="276" w:lineRule="auto"/>
        <w:rPr>
          <w:rFonts w:asciiTheme="minorHAnsi" w:hAnsiTheme="minorHAnsi" w:cstheme="minorHAnsi"/>
          <w:sz w:val="22"/>
          <w:szCs w:val="22"/>
        </w:rPr>
      </w:pPr>
      <w:r w:rsidRPr="00237A23">
        <w:rPr>
          <w:rFonts w:asciiTheme="minorHAnsi" w:hAnsiTheme="minorHAnsi" w:cstheme="minorHAnsi"/>
          <w:sz w:val="22"/>
          <w:szCs w:val="22"/>
        </w:rPr>
        <w:t>Incorporate new datasets from multiple GAHP manufacturers (Robur, SMTI, Vicot).</w:t>
      </w:r>
    </w:p>
    <w:p w14:paraId="70F0FD3E" w14:textId="77777777" w:rsidR="002B1145" w:rsidRPr="00237A23" w:rsidRDefault="002B1145" w:rsidP="008E6BE8">
      <w:pPr>
        <w:pStyle w:val="NormalWeb"/>
        <w:numPr>
          <w:ilvl w:val="0"/>
          <w:numId w:val="36"/>
        </w:numPr>
        <w:spacing w:line="276" w:lineRule="auto"/>
        <w:rPr>
          <w:rFonts w:asciiTheme="minorHAnsi" w:hAnsiTheme="minorHAnsi" w:cstheme="minorHAnsi"/>
          <w:sz w:val="22"/>
          <w:szCs w:val="22"/>
        </w:rPr>
      </w:pPr>
      <w:r w:rsidRPr="00237A23">
        <w:rPr>
          <w:rFonts w:asciiTheme="minorHAnsi" w:hAnsiTheme="minorHAnsi" w:cstheme="minorHAnsi"/>
          <w:sz w:val="22"/>
          <w:szCs w:val="22"/>
        </w:rPr>
        <w:t>Develop and disseminate best-practice guidance for GAHP modeling and design in DHW, space-heating, and combination applications.</w:t>
      </w:r>
    </w:p>
    <w:p w14:paraId="6830336D" w14:textId="77777777" w:rsidR="002B1145" w:rsidRPr="00237A23" w:rsidRDefault="002B1145" w:rsidP="008E6BE8">
      <w:pPr>
        <w:pStyle w:val="NormalWeb"/>
        <w:numPr>
          <w:ilvl w:val="0"/>
          <w:numId w:val="36"/>
        </w:numPr>
        <w:spacing w:line="276" w:lineRule="auto"/>
        <w:rPr>
          <w:rFonts w:asciiTheme="minorHAnsi" w:hAnsiTheme="minorHAnsi" w:cstheme="minorHAnsi"/>
          <w:sz w:val="22"/>
          <w:szCs w:val="22"/>
        </w:rPr>
      </w:pPr>
      <w:r w:rsidRPr="00237A23">
        <w:rPr>
          <w:rFonts w:asciiTheme="minorHAnsi" w:hAnsiTheme="minorHAnsi" w:cstheme="minorHAnsi"/>
          <w:sz w:val="22"/>
          <w:szCs w:val="22"/>
        </w:rPr>
        <w:t>Conduct stakeholder workshops and publish finalized tools and documentation through NAGHPC and program channels.</w:t>
      </w:r>
    </w:p>
    <w:p w14:paraId="3368E91F" w14:textId="236B5ED8" w:rsidR="00FE6794" w:rsidRDefault="00FE6794" w:rsidP="00FE6794">
      <w:pPr>
        <w:pStyle w:val="Heading3"/>
      </w:pPr>
      <w:bookmarkStart w:id="11" w:name="_Toc213213548"/>
      <w:r>
        <w:t xml:space="preserve">Goal 1.4 </w:t>
      </w:r>
      <w:r w:rsidR="009A69AD">
        <w:t>Analyze potential for GAHP applications for Pool heating</w:t>
      </w:r>
      <w:bookmarkEnd w:id="11"/>
      <w:r w:rsidR="009A69AD">
        <w:t xml:space="preserve"> </w:t>
      </w:r>
      <w:r>
        <w:t xml:space="preserve"> </w:t>
      </w:r>
    </w:p>
    <w:p w14:paraId="5A866FEA" w14:textId="77777777" w:rsidR="00FE6794" w:rsidRDefault="00FE6794" w:rsidP="0008335F"/>
    <w:p w14:paraId="47D79412" w14:textId="022C02AD" w:rsidR="00FE6794" w:rsidRDefault="00FE4B44" w:rsidP="00FE6794">
      <w:pPr>
        <w:spacing w:after="240"/>
      </w:pPr>
      <w:r>
        <w:t>The GET program has a project underway to address this goal, but since it is not complete, the objectives remain unchanged from the 2024 plan</w:t>
      </w:r>
      <w:r w:rsidR="00B848DF">
        <w:t xml:space="preserve">.  </w:t>
      </w:r>
      <w:r w:rsidR="00C166F1">
        <w:t xml:space="preserve">Pool heating has traditionally been </w:t>
      </w:r>
      <w:r w:rsidR="00A213E5">
        <w:t>provided with</w:t>
      </w:r>
      <w:r w:rsidR="00C166F1">
        <w:t xml:space="preserve"> gas fired heaters</w:t>
      </w:r>
      <w:r w:rsidR="00A213E5">
        <w:t xml:space="preserve"> and/or solar water heaters</w:t>
      </w:r>
      <w:r w:rsidR="00401D17">
        <w:t xml:space="preserve"> as these </w:t>
      </w:r>
      <w:r w:rsidR="000B5B99">
        <w:t>are</w:t>
      </w:r>
      <w:r w:rsidR="00401D17">
        <w:t xml:space="preserve"> </w:t>
      </w:r>
      <w:r w:rsidR="001D46CA">
        <w:t>low-cost</w:t>
      </w:r>
      <w:r w:rsidR="000B5B99">
        <w:t xml:space="preserve"> options</w:t>
      </w:r>
      <w:r w:rsidR="00A213E5">
        <w:t xml:space="preserve">.  </w:t>
      </w:r>
      <w:r w:rsidR="000D0887">
        <w:t xml:space="preserve">There are </w:t>
      </w:r>
      <w:r w:rsidR="00741371">
        <w:t xml:space="preserve">now </w:t>
      </w:r>
      <w:r w:rsidR="00EB74B0">
        <w:t>several</w:t>
      </w:r>
      <w:r w:rsidR="000D0887">
        <w:t xml:space="preserve"> new </w:t>
      </w:r>
      <w:r w:rsidR="004919B2">
        <w:t>technologies</w:t>
      </w:r>
      <w:r w:rsidR="000D0887">
        <w:t xml:space="preserve"> to heat pools</w:t>
      </w:r>
      <w:r w:rsidR="002050E5">
        <w:t xml:space="preserve"> </w:t>
      </w:r>
      <w:r w:rsidR="00EB74B0">
        <w:t>–</w:t>
      </w:r>
      <w:r w:rsidR="000D0887">
        <w:t xml:space="preserve"> GAHPs</w:t>
      </w:r>
      <w:r w:rsidR="00EB74B0">
        <w:t>,</w:t>
      </w:r>
      <w:r w:rsidR="000D0887">
        <w:t xml:space="preserve"> electric heat pumps</w:t>
      </w:r>
      <w:r w:rsidR="00800A49">
        <w:t xml:space="preserve"> (EHPs)</w:t>
      </w:r>
      <w:r w:rsidR="00EB74B0">
        <w:t>, and hybrid</w:t>
      </w:r>
      <w:r w:rsidR="00156532">
        <w:t xml:space="preserve"> </w:t>
      </w:r>
      <w:r w:rsidR="00EB74B0">
        <w:t>gas</w:t>
      </w:r>
      <w:r w:rsidR="00156532">
        <w:t>-</w:t>
      </w:r>
      <w:r w:rsidR="00EB74B0">
        <w:t>electric units</w:t>
      </w:r>
      <w:r w:rsidR="000D0887">
        <w:t xml:space="preserve">. </w:t>
      </w:r>
      <w:r w:rsidR="00741371">
        <w:t>T</w:t>
      </w:r>
      <w:r w:rsidR="00F062C8">
        <w:t>he</w:t>
      </w:r>
      <w:r w:rsidR="00290B1A">
        <w:t>re is an opportunity to explore if these make sense technically</w:t>
      </w:r>
      <w:r w:rsidR="00716271">
        <w:t xml:space="preserve">, cost effectively and operationally. </w:t>
      </w:r>
      <w:r w:rsidR="00CA04B9">
        <w:t xml:space="preserve">This may </w:t>
      </w:r>
      <w:r w:rsidR="002D1BE0">
        <w:t xml:space="preserve">be a good pairing with </w:t>
      </w:r>
      <w:r w:rsidR="00CA04B9">
        <w:t xml:space="preserve">GAHP supply temperatures.  </w:t>
      </w:r>
      <w:r w:rsidR="00716271">
        <w:t xml:space="preserve">Additionally, the </w:t>
      </w:r>
      <w:r w:rsidR="00743787">
        <w:t>time-of-day</w:t>
      </w:r>
      <w:r w:rsidR="00063E21">
        <w:t xml:space="preserve"> </w:t>
      </w:r>
      <w:r w:rsidR="00716271">
        <w:t xml:space="preserve">emissions </w:t>
      </w:r>
      <w:r w:rsidR="00063E21">
        <w:t xml:space="preserve">relative to electric heat pumps </w:t>
      </w:r>
      <w:r w:rsidR="00C330F4">
        <w:t xml:space="preserve">and </w:t>
      </w:r>
      <w:proofErr w:type="gramStart"/>
      <w:r w:rsidR="00C330F4">
        <w:t>or</w:t>
      </w:r>
      <w:proofErr w:type="gramEnd"/>
      <w:r w:rsidR="00C330F4">
        <w:t xml:space="preserve"> hybrid units </w:t>
      </w:r>
      <w:r w:rsidR="00D6479F">
        <w:t>are</w:t>
      </w:r>
      <w:r w:rsidR="00741371">
        <w:t xml:space="preserve"> of interest</w:t>
      </w:r>
      <w:r w:rsidR="00743787">
        <w:t>.</w:t>
      </w:r>
      <w:r w:rsidR="00CA023B">
        <w:t xml:space="preserve">  Phase I of this work to create a more comprehensive modeling tool and run parametric is expected to be completed in 2025.</w:t>
      </w:r>
      <w:r w:rsidR="007222A0">
        <w:t xml:space="preserve">  Updates to this tool, to add additional test data, though an agile project may be undertaken in 2026.</w:t>
      </w:r>
    </w:p>
    <w:p w14:paraId="20732089" w14:textId="34E6DD56" w:rsidR="00854D59" w:rsidRDefault="00854D59" w:rsidP="00FE6794">
      <w:pPr>
        <w:spacing w:after="240"/>
      </w:pPr>
      <w:r w:rsidRPr="00854D59">
        <w:t xml:space="preserve">In 2026, the program will advance this goal through the Pool Heating Phase II project, which will install and monitor Gas Absorption Heat Pump (GAHP) pool-heating systems at </w:t>
      </w:r>
      <w:r w:rsidR="00AD661A">
        <w:t>one or more</w:t>
      </w:r>
      <w:r w:rsidR="00AD661A" w:rsidRPr="00854D59">
        <w:t xml:space="preserve"> </w:t>
      </w:r>
      <w:r w:rsidRPr="00854D59">
        <w:t>California sites. This effort builds on prior analytical work by providing in-field data on energy use, system integration, reliability, and greenhouse-gas performance relative to baseline gas and electric pool heaters. Field results will validate modeled savings, identify installation and maintenance barriers, and support the development of new measure packages for GAHP pool-heating applications. The study will also examine time-of-day emissions profiles to compare the marginal GHG impacts of GAHP, electric, and hybrid systems under California’s evolving grid conditions</w:t>
      </w:r>
    </w:p>
    <w:p w14:paraId="2F89D49B" w14:textId="77777777" w:rsidR="00FE6794" w:rsidRDefault="00FE6794" w:rsidP="00FE6794">
      <w:pPr>
        <w:pStyle w:val="Heading4"/>
      </w:pPr>
      <w:r>
        <w:t xml:space="preserve">Objectives </w:t>
      </w:r>
    </w:p>
    <w:p w14:paraId="049C871E" w14:textId="4B4F76A5" w:rsidR="00613A66" w:rsidRDefault="00746BBE" w:rsidP="00AA34F5">
      <w:pPr>
        <w:pStyle w:val="ListParagraph"/>
        <w:numPr>
          <w:ilvl w:val="0"/>
          <w:numId w:val="25"/>
        </w:numPr>
      </w:pPr>
      <w:r>
        <w:t>Review available technologies and understand potential barriers to implementation.</w:t>
      </w:r>
    </w:p>
    <w:p w14:paraId="748EB000" w14:textId="38B871AA" w:rsidR="00800A49" w:rsidRDefault="00800A49" w:rsidP="00AA34F5">
      <w:pPr>
        <w:pStyle w:val="ListParagraph"/>
        <w:numPr>
          <w:ilvl w:val="0"/>
          <w:numId w:val="25"/>
        </w:numPr>
      </w:pPr>
      <w:r>
        <w:t>Perform an analysis to compare emissions for GAHP vs EHPS to understand timing and impacts due to time-of-day use.</w:t>
      </w:r>
    </w:p>
    <w:p w14:paraId="05C9AFE3" w14:textId="57A89A70" w:rsidR="00800A49" w:rsidRDefault="002A12DF" w:rsidP="00AA34F5">
      <w:pPr>
        <w:pStyle w:val="ListParagraph"/>
        <w:numPr>
          <w:ilvl w:val="0"/>
          <w:numId w:val="25"/>
        </w:numPr>
      </w:pPr>
      <w:r>
        <w:t>Initiate</w:t>
      </w:r>
      <w:r w:rsidR="00800A49">
        <w:t xml:space="preserve"> field work to quantify real time operation and challenges associated with this application.</w:t>
      </w:r>
    </w:p>
    <w:p w14:paraId="6956D2B2" w14:textId="77777777" w:rsidR="00F07D50" w:rsidRDefault="00F07D50" w:rsidP="00D20437"/>
    <w:p w14:paraId="7690250F" w14:textId="10D04CA7" w:rsidR="00843FEE" w:rsidRDefault="00843FEE" w:rsidP="00D20437">
      <w:pPr>
        <w:pStyle w:val="Heading3"/>
      </w:pPr>
      <w:bookmarkStart w:id="12" w:name="_Toc213213549"/>
      <w:r w:rsidRPr="000D1AE2">
        <w:t>Goal 1.</w:t>
      </w:r>
      <w:r w:rsidR="008E6BE8">
        <w:t>5</w:t>
      </w:r>
      <w:r w:rsidRPr="000D1AE2">
        <w:t>: Evaluate Behavioral Water and Energy Feedback Devices</w:t>
      </w:r>
      <w:bookmarkEnd w:id="12"/>
      <w:r w:rsidRPr="000D1AE2">
        <w:t xml:space="preserve"> </w:t>
      </w:r>
    </w:p>
    <w:p w14:paraId="33BDC805" w14:textId="77777777" w:rsidR="00D20437" w:rsidRPr="000D1AE2" w:rsidRDefault="00D20437" w:rsidP="00012048"/>
    <w:p w14:paraId="12EAB60D" w14:textId="77777777" w:rsidR="00843FEE" w:rsidRPr="00843FEE" w:rsidRDefault="00843FEE" w:rsidP="00843FEE">
      <w:pPr>
        <w:spacing w:after="240"/>
      </w:pPr>
      <w:r w:rsidRPr="00843FEE">
        <w:t xml:space="preserve">In 2025, the GET Program initiated the </w:t>
      </w:r>
      <w:r w:rsidRPr="00843FEE">
        <w:rPr>
          <w:i/>
          <w:iCs/>
        </w:rPr>
        <w:t>Shower Duration Behavioral Indicator</w:t>
      </w:r>
      <w:r w:rsidRPr="00843FEE">
        <w:t xml:space="preserve"> project (ET25SWG0005) to evaluate behavioral feedback solutions that encourage water and energy conservation in residential and </w:t>
      </w:r>
      <w:r w:rsidRPr="00843FEE">
        <w:lastRenderedPageBreak/>
        <w:t>multifamily settings. The device automatically detects shower start and duration, providing visual alerts at start, halfway, and end points to promote shorter shower times. When paired with a mobile app, users can view personalized metrics on water and energy savings, cost impacts, and usage trends.</w:t>
      </w:r>
    </w:p>
    <w:p w14:paraId="5156BF1A" w14:textId="119F8F8A" w:rsidR="00843FEE" w:rsidRPr="00843FEE" w:rsidRDefault="00843FEE" w:rsidP="00843FEE">
      <w:pPr>
        <w:spacing w:after="240"/>
      </w:pPr>
      <w:r w:rsidRPr="00843FEE">
        <w:t xml:space="preserve">The 2025 </w:t>
      </w:r>
      <w:r w:rsidR="00F748EB">
        <w:t xml:space="preserve">- 2026 </w:t>
      </w:r>
      <w:r w:rsidRPr="00843FEE">
        <w:t xml:space="preserve">study will </w:t>
      </w:r>
      <w:r w:rsidR="00F748EB">
        <w:t xml:space="preserve">attempt to </w:t>
      </w:r>
      <w:r w:rsidRPr="00843FEE">
        <w:t>deploy these devices across approximately 50 single-family and multifamily properties, analyzing behavioral changes immediately after installation and several months later to assess persistence. In 2026, the Program will build on these results by comparing pre- and post-installation data, quantifying gas and water savings, and evaluating customer acceptance and scalability.</w:t>
      </w:r>
    </w:p>
    <w:p w14:paraId="07EE32FF" w14:textId="5114059A" w:rsidR="00843FEE" w:rsidRPr="00843FEE" w:rsidRDefault="00843FEE" w:rsidP="00843FEE">
      <w:pPr>
        <w:spacing w:after="240"/>
      </w:pPr>
      <w:r w:rsidRPr="00843FEE">
        <w:t xml:space="preserve">To complement this effort, the Program will also </w:t>
      </w:r>
      <w:r w:rsidR="00F748EB">
        <w:t>review</w:t>
      </w:r>
      <w:r w:rsidR="00F748EB" w:rsidRPr="00843FEE">
        <w:t xml:space="preserve"> </w:t>
      </w:r>
      <w:r w:rsidRPr="00E90B01">
        <w:t xml:space="preserve">LED faucet aerators </w:t>
      </w:r>
      <w:r w:rsidRPr="00843FEE">
        <w:t xml:space="preserve">that provide real-time visual feedback (e.g., color change or flow cues) to encourage water conservation at sinks. This exploratory work will determine potential energy and gas savings from reduced </w:t>
      </w:r>
      <w:proofErr w:type="gramStart"/>
      <w:r w:rsidRPr="00843FEE">
        <w:t>hot-water</w:t>
      </w:r>
      <w:proofErr w:type="gramEnd"/>
      <w:r w:rsidRPr="00843FEE">
        <w:t xml:space="preserve"> use and evaluate user response to multiple behavioral feedback approaches within the same end-use category.</w:t>
      </w:r>
    </w:p>
    <w:p w14:paraId="58271F5A" w14:textId="77777777" w:rsidR="00843FEE" w:rsidRPr="008E6BE8" w:rsidRDefault="00843FEE" w:rsidP="00843FEE">
      <w:pPr>
        <w:spacing w:after="240"/>
        <w:rPr>
          <w:rFonts w:asciiTheme="majorHAnsi" w:hAnsiTheme="majorHAnsi"/>
          <w:i/>
          <w:iCs/>
        </w:rPr>
      </w:pPr>
      <w:r w:rsidRPr="008E6BE8">
        <w:rPr>
          <w:rFonts w:asciiTheme="majorHAnsi" w:hAnsiTheme="majorHAnsi"/>
          <w:i/>
          <w:iCs/>
        </w:rPr>
        <w:t>Objectives</w:t>
      </w:r>
    </w:p>
    <w:p w14:paraId="6FEA9ACE" w14:textId="77777777" w:rsidR="00843FEE" w:rsidRPr="00843FEE" w:rsidRDefault="00843FEE" w:rsidP="008E6BE8">
      <w:pPr>
        <w:numPr>
          <w:ilvl w:val="0"/>
          <w:numId w:val="37"/>
        </w:numPr>
        <w:spacing w:after="240"/>
      </w:pPr>
      <w:r w:rsidRPr="00843FEE">
        <w:t xml:space="preserve">Quantify behavioral impacts of shower and faucet feedback devices on </w:t>
      </w:r>
      <w:proofErr w:type="gramStart"/>
      <w:r w:rsidRPr="00843FEE">
        <w:t>hot-water</w:t>
      </w:r>
      <w:proofErr w:type="gramEnd"/>
      <w:r w:rsidRPr="00843FEE">
        <w:t xml:space="preserve"> use and associated gas savings.</w:t>
      </w:r>
    </w:p>
    <w:p w14:paraId="1641CC3F" w14:textId="77777777" w:rsidR="00843FEE" w:rsidRPr="00843FEE" w:rsidRDefault="00843FEE" w:rsidP="008E6BE8">
      <w:pPr>
        <w:numPr>
          <w:ilvl w:val="0"/>
          <w:numId w:val="37"/>
        </w:numPr>
        <w:spacing w:after="240"/>
      </w:pPr>
      <w:r w:rsidRPr="00843FEE">
        <w:t>Assess persistence of behavior changes over time through longitudinal data collection.</w:t>
      </w:r>
    </w:p>
    <w:p w14:paraId="754546A7" w14:textId="77777777" w:rsidR="00843FEE" w:rsidRPr="00843FEE" w:rsidRDefault="00843FEE" w:rsidP="008E6BE8">
      <w:pPr>
        <w:numPr>
          <w:ilvl w:val="0"/>
          <w:numId w:val="37"/>
        </w:numPr>
        <w:spacing w:after="240"/>
      </w:pPr>
      <w:r w:rsidRPr="00843FEE">
        <w:t>Evaluate user experience, installation ease, and potential program design considerations.</w:t>
      </w:r>
    </w:p>
    <w:p w14:paraId="7DB47697" w14:textId="77777777" w:rsidR="00843FEE" w:rsidRPr="00843FEE" w:rsidRDefault="00843FEE" w:rsidP="008E6BE8">
      <w:pPr>
        <w:numPr>
          <w:ilvl w:val="0"/>
          <w:numId w:val="37"/>
        </w:numPr>
        <w:spacing w:after="240"/>
      </w:pPr>
      <w:r w:rsidRPr="00843FEE">
        <w:t>Compare feedback mechanisms (LED aerator vs. shower indicator) to identify most effective behavioral interventions.</w:t>
      </w:r>
    </w:p>
    <w:p w14:paraId="0F367DDD" w14:textId="77777777" w:rsidR="00843FEE" w:rsidRPr="00843FEE" w:rsidRDefault="00843FEE" w:rsidP="008E6BE8">
      <w:pPr>
        <w:numPr>
          <w:ilvl w:val="0"/>
          <w:numId w:val="37"/>
        </w:numPr>
        <w:spacing w:after="240"/>
      </w:pPr>
      <w:r w:rsidRPr="00843FEE">
        <w:t>Identify opportunities to expand behavioral water-heating feedback devices into broader water-efficiency portfolios.</w:t>
      </w:r>
    </w:p>
    <w:p w14:paraId="7717C426" w14:textId="77777777" w:rsidR="00473BF9" w:rsidRPr="00084E37" w:rsidRDefault="00473BF9" w:rsidP="00800A49">
      <w:pPr>
        <w:spacing w:after="240"/>
      </w:pPr>
    </w:p>
    <w:p w14:paraId="645817CC" w14:textId="4795ED65" w:rsidR="008550D1" w:rsidRDefault="007F3E9A" w:rsidP="00AA34F5">
      <w:pPr>
        <w:pStyle w:val="Heading2"/>
        <w:numPr>
          <w:ilvl w:val="0"/>
          <w:numId w:val="24"/>
        </w:numPr>
      </w:pPr>
      <w:bookmarkStart w:id="13" w:name="_Toc213213550"/>
      <w:r>
        <w:t>HVAC</w:t>
      </w:r>
      <w:bookmarkEnd w:id="13"/>
    </w:p>
    <w:p w14:paraId="3C663E09" w14:textId="77777777" w:rsidR="00E90B01" w:rsidRDefault="00E90B01" w:rsidP="00462DA5">
      <w:pPr>
        <w:spacing w:after="240"/>
      </w:pPr>
    </w:p>
    <w:p w14:paraId="52ED1A12" w14:textId="3966B883" w:rsidR="008E4AE5" w:rsidRDefault="0026611F" w:rsidP="00462DA5">
      <w:pPr>
        <w:spacing w:after="240"/>
      </w:pPr>
      <w:r>
        <w:t>The 202</w:t>
      </w:r>
      <w:r w:rsidR="00E10CAD">
        <w:t>4</w:t>
      </w:r>
      <w:r>
        <w:t xml:space="preserve"> HVAC goals include</w:t>
      </w:r>
      <w:r w:rsidR="004E5D1D">
        <w:t>d</w:t>
      </w:r>
      <w:r>
        <w:t xml:space="preserve"> the study of additives for hydronic space heating</w:t>
      </w:r>
      <w:r w:rsidR="00D53D55">
        <w:t xml:space="preserve"> as well as</w:t>
      </w:r>
      <w:r w:rsidR="00687302">
        <w:t xml:space="preserve"> the study of “Combi” (water and space heating) systems that would be targeted to multifamily and/or small commercial applications.</w:t>
      </w:r>
      <w:r>
        <w:t xml:space="preserve"> </w:t>
      </w:r>
    </w:p>
    <w:p w14:paraId="3E10F66C" w14:textId="7C388200" w:rsidR="00FA3B21" w:rsidRDefault="00FA3B21" w:rsidP="00541AD4">
      <w:pPr>
        <w:pStyle w:val="Heading3"/>
      </w:pPr>
      <w:bookmarkStart w:id="14" w:name="_Toc213213551"/>
      <w:r>
        <w:t xml:space="preserve">Goal </w:t>
      </w:r>
      <w:r w:rsidR="00355746">
        <w:t>2.</w:t>
      </w:r>
      <w:r w:rsidR="00E90B01">
        <w:t>1</w:t>
      </w:r>
      <w:r>
        <w:t xml:space="preserve">: </w:t>
      </w:r>
      <w:r w:rsidR="005A2DDE">
        <w:t xml:space="preserve">Explore the </w:t>
      </w:r>
      <w:r w:rsidR="0072187A">
        <w:t>application of c</w:t>
      </w:r>
      <w:r w:rsidR="005A2DDE">
        <w:t>ombi systems in C</w:t>
      </w:r>
      <w:r w:rsidR="004A3F1B">
        <w:t>alifornia</w:t>
      </w:r>
      <w:bookmarkEnd w:id="14"/>
    </w:p>
    <w:p w14:paraId="56253673" w14:textId="7B7B072B" w:rsidR="00C37B2B" w:rsidRPr="005A2DDE" w:rsidRDefault="00FA3B21" w:rsidP="00BB3686">
      <w:pPr>
        <w:spacing w:after="240"/>
      </w:pPr>
      <w:r w:rsidRPr="005A2DDE">
        <w:t>There</w:t>
      </w:r>
      <w:r w:rsidR="005A2DDE">
        <w:t xml:space="preserve"> are multiple systems that have been studied for domestic hot water heating applications only</w:t>
      </w:r>
      <w:r w:rsidR="00AA0CA0">
        <w:t xml:space="preserve">; however, the same technologies can also be leveraged for both space </w:t>
      </w:r>
      <w:r w:rsidR="00C37B2B">
        <w:t>heating and cooling</w:t>
      </w:r>
      <w:r w:rsidR="003739B9">
        <w:t xml:space="preserve">, </w:t>
      </w:r>
      <w:r w:rsidR="00C37B2B">
        <w:t>hence the name “combi” systems</w:t>
      </w:r>
      <w:r w:rsidR="00C56B3C">
        <w:t xml:space="preserve">. </w:t>
      </w:r>
      <w:r w:rsidR="00C37B2B">
        <w:t>These are mostly proposed for residential applications but could be applied for commercial applications as well.</w:t>
      </w:r>
      <w:r w:rsidR="00852AC7">
        <w:t xml:space="preserve"> This goal remains unchanged for 202</w:t>
      </w:r>
      <w:r w:rsidR="00197C3D">
        <w:t>6</w:t>
      </w:r>
      <w:r w:rsidR="00852AC7">
        <w:t xml:space="preserve"> because there have been delays in recruitment for a combination system utilizing </w:t>
      </w:r>
      <w:r w:rsidR="00E00F03">
        <w:t xml:space="preserve">a gas-fired heat pump technology. </w:t>
      </w:r>
    </w:p>
    <w:p w14:paraId="4137B56E" w14:textId="6455F65C" w:rsidR="00C37B2B" w:rsidRDefault="00C37B2B" w:rsidP="00BB3686">
      <w:pPr>
        <w:pStyle w:val="Heading4"/>
      </w:pPr>
      <w:r w:rsidRPr="00545E5B">
        <w:t>Objectives</w:t>
      </w:r>
    </w:p>
    <w:p w14:paraId="1138165B" w14:textId="7737FADE" w:rsidR="00C37B2B" w:rsidRPr="00BB3686" w:rsidRDefault="00F81739" w:rsidP="00AA34F5">
      <w:pPr>
        <w:pStyle w:val="ListParagraph"/>
        <w:numPr>
          <w:ilvl w:val="0"/>
          <w:numId w:val="16"/>
        </w:numPr>
        <w:spacing w:after="240"/>
        <w:rPr>
          <w:b/>
          <w:bCs/>
          <w:i/>
          <w:iCs/>
        </w:rPr>
      </w:pPr>
      <w:r>
        <w:t xml:space="preserve">As part of field-testing work </w:t>
      </w:r>
      <w:r w:rsidR="005D407C">
        <w:t xml:space="preserve">planned for </w:t>
      </w:r>
      <w:r>
        <w:t xml:space="preserve">water heating, </w:t>
      </w:r>
      <w:r w:rsidR="00F94755">
        <w:t xml:space="preserve">quantify </w:t>
      </w:r>
      <w:r w:rsidR="008A1FB4">
        <w:t xml:space="preserve">applications where the </w:t>
      </w:r>
      <w:r w:rsidR="00B55FB8">
        <w:t xml:space="preserve">GAHP </w:t>
      </w:r>
      <w:r w:rsidR="008A1FB4">
        <w:t>systems serve more loads than just water heating.</w:t>
      </w:r>
    </w:p>
    <w:p w14:paraId="0CE957DE" w14:textId="1B1BE095" w:rsidR="007F3E9A" w:rsidRDefault="00E76787" w:rsidP="00AA34F5">
      <w:pPr>
        <w:pStyle w:val="ListParagraph"/>
        <w:numPr>
          <w:ilvl w:val="0"/>
          <w:numId w:val="16"/>
        </w:numPr>
        <w:spacing w:after="240"/>
      </w:pPr>
      <w:r>
        <w:lastRenderedPageBreak/>
        <w:t xml:space="preserve">Explore related applications and requirements for these systems to be applied in </w:t>
      </w:r>
      <w:r w:rsidR="005D407C">
        <w:t xml:space="preserve">multifamily </w:t>
      </w:r>
      <w:r>
        <w:t>and commercial applications</w:t>
      </w:r>
      <w:r w:rsidR="004244F1">
        <w:t>.</w:t>
      </w:r>
    </w:p>
    <w:p w14:paraId="18042ECD" w14:textId="1CA11D92" w:rsidR="00262622" w:rsidRDefault="00262622" w:rsidP="00262622">
      <w:pPr>
        <w:pStyle w:val="Heading3"/>
      </w:pPr>
      <w:bookmarkStart w:id="15" w:name="_Toc213213552"/>
      <w:r>
        <w:t>Goal 2.</w:t>
      </w:r>
      <w:r w:rsidR="00E90B01">
        <w:t>2</w:t>
      </w:r>
      <w:r>
        <w:t xml:space="preserve">: Explore Gas Furnace </w:t>
      </w:r>
      <w:r w:rsidR="00280379">
        <w:t>Optimization</w:t>
      </w:r>
      <w:r>
        <w:t xml:space="preserve"> Measures</w:t>
      </w:r>
      <w:bookmarkEnd w:id="15"/>
    </w:p>
    <w:p w14:paraId="73843BCC" w14:textId="25873A7A" w:rsidR="00262622" w:rsidRPr="005A2DDE" w:rsidRDefault="00262622" w:rsidP="00262622">
      <w:pPr>
        <w:spacing w:after="240"/>
      </w:pPr>
      <w:r w:rsidRPr="005A2DDE">
        <w:t>There</w:t>
      </w:r>
      <w:r>
        <w:t xml:space="preserve"> </w:t>
      </w:r>
      <w:r w:rsidR="00E2269F">
        <w:t xml:space="preserve">currently are no California </w:t>
      </w:r>
      <w:r w:rsidR="009B33F8">
        <w:t>deemed m</w:t>
      </w:r>
      <w:r w:rsidR="00E2269F">
        <w:t xml:space="preserve">easures for </w:t>
      </w:r>
      <w:r w:rsidR="00632BCC">
        <w:t>furnace tune-ups</w:t>
      </w:r>
      <w:r w:rsidR="00280379">
        <w:t xml:space="preserve"> or right </w:t>
      </w:r>
      <w:r w:rsidR="00FA4813">
        <w:t>sizing</w:t>
      </w:r>
      <w:r w:rsidR="00632BCC">
        <w:t xml:space="preserve"> in either the residential or commercial sectors.</w:t>
      </w:r>
      <w:r w:rsidR="00C91D5E">
        <w:t xml:space="preserve">  With a large based of installed base of furnaces, there is the potential to optimize the existing equipment by performing tune-ups to ensure the burners</w:t>
      </w:r>
      <w:r w:rsidR="006115FC">
        <w:t>, ignition and airflow are properly adjusted</w:t>
      </w:r>
      <w:r w:rsidR="00FA4813">
        <w:t xml:space="preserve"> and/or right size </w:t>
      </w:r>
      <w:r w:rsidR="00B50D6A">
        <w:t>replacement</w:t>
      </w:r>
      <w:r w:rsidR="00FA4813">
        <w:t xml:space="preserve"> furnaces</w:t>
      </w:r>
      <w:r w:rsidR="006115FC">
        <w:t>.</w:t>
      </w:r>
    </w:p>
    <w:p w14:paraId="32F6EC55" w14:textId="77777777" w:rsidR="00262622" w:rsidRDefault="00262622" w:rsidP="00262622">
      <w:pPr>
        <w:pStyle w:val="Heading4"/>
      </w:pPr>
      <w:r w:rsidRPr="00545E5B">
        <w:t>Objectives</w:t>
      </w:r>
    </w:p>
    <w:p w14:paraId="45D55005" w14:textId="41A19A5D" w:rsidR="00262622" w:rsidRPr="00BB3686" w:rsidRDefault="00945A8D" w:rsidP="00262622">
      <w:pPr>
        <w:pStyle w:val="ListParagraph"/>
        <w:numPr>
          <w:ilvl w:val="0"/>
          <w:numId w:val="27"/>
        </w:numPr>
        <w:spacing w:after="240"/>
        <w:rPr>
          <w:b/>
          <w:bCs/>
          <w:i/>
          <w:iCs/>
        </w:rPr>
      </w:pPr>
      <w:r>
        <w:t xml:space="preserve">Review prior collected data </w:t>
      </w:r>
      <w:r w:rsidR="00044327">
        <w:t xml:space="preserve">and regulatory decisions </w:t>
      </w:r>
      <w:r>
        <w:t xml:space="preserve">to determine </w:t>
      </w:r>
      <w:r w:rsidR="00044327">
        <w:t>if there is adequate data and policy allowance for developing deemed measure</w:t>
      </w:r>
      <w:r w:rsidR="00B50D6A">
        <w:t xml:space="preserve">(s) for tune-ups </w:t>
      </w:r>
      <w:r w:rsidR="006F18F4">
        <w:t>and/</w:t>
      </w:r>
      <w:r w:rsidR="00B50D6A">
        <w:t>or right sizing</w:t>
      </w:r>
      <w:r w:rsidR="00044327">
        <w:t>.</w:t>
      </w:r>
      <w:r w:rsidR="00B50D6A">
        <w:t xml:space="preserve">  ACCA 5 or other consensus standards may be leveraged.</w:t>
      </w:r>
    </w:p>
    <w:p w14:paraId="236BB32C" w14:textId="4737C1E6" w:rsidR="00262622" w:rsidRDefault="00044327" w:rsidP="00262622">
      <w:pPr>
        <w:pStyle w:val="ListParagraph"/>
        <w:numPr>
          <w:ilvl w:val="0"/>
          <w:numId w:val="27"/>
        </w:numPr>
        <w:spacing w:after="240"/>
      </w:pPr>
      <w:r>
        <w:t xml:space="preserve">Based upon the outcome of number one, scope additional </w:t>
      </w:r>
      <w:r w:rsidR="00470B4E">
        <w:t>field</w:t>
      </w:r>
      <w:r>
        <w:t xml:space="preserve"> study </w:t>
      </w:r>
      <w:r w:rsidR="00470B4E">
        <w:t>to support the development of a measure package.</w:t>
      </w:r>
    </w:p>
    <w:p w14:paraId="21A636E6" w14:textId="1E8D2F3D" w:rsidR="00A83A5B" w:rsidRDefault="009A7879" w:rsidP="00473BF9">
      <w:pPr>
        <w:pStyle w:val="Heading2"/>
        <w:numPr>
          <w:ilvl w:val="0"/>
          <w:numId w:val="24"/>
        </w:numPr>
      </w:pPr>
      <w:bookmarkStart w:id="16" w:name="_Toc213213553"/>
      <w:r>
        <w:t xml:space="preserve">Commercial </w:t>
      </w:r>
      <w:r w:rsidR="0097230A">
        <w:t>Foodservice</w:t>
      </w:r>
      <w:bookmarkEnd w:id="16"/>
    </w:p>
    <w:p w14:paraId="12FC7B94" w14:textId="77777777" w:rsidR="004244F1" w:rsidRDefault="004244F1" w:rsidP="0041184C">
      <w:pPr>
        <w:spacing w:after="240"/>
      </w:pPr>
    </w:p>
    <w:p w14:paraId="5E3435BC" w14:textId="4F33D844" w:rsidR="00F611CF" w:rsidRDefault="00AD5D6F" w:rsidP="0041184C">
      <w:pPr>
        <w:spacing w:after="240"/>
      </w:pPr>
      <w:r>
        <w:t xml:space="preserve">Goal 3 from the 2022 Research Plan was </w:t>
      </w:r>
      <w:r w:rsidR="00D866B6">
        <w:t>related to residential cooking and commercial foodservice</w:t>
      </w:r>
      <w:r w:rsidR="00C56B3C">
        <w:t xml:space="preserve">. </w:t>
      </w:r>
      <w:r w:rsidR="00D866B6">
        <w:t>A market characterization study for commercial foodservice</w:t>
      </w:r>
      <w:r w:rsidR="00127B87">
        <w:t xml:space="preserve"> (CFS)</w:t>
      </w:r>
      <w:r w:rsidR="00D866B6">
        <w:t xml:space="preserve"> was launched and</w:t>
      </w:r>
      <w:r w:rsidR="00125BAE">
        <w:t xml:space="preserve"> has been completed</w:t>
      </w:r>
      <w:r w:rsidR="00C56B3C">
        <w:t xml:space="preserve">. </w:t>
      </w:r>
      <w:r w:rsidR="004A77CD">
        <w:t xml:space="preserve">The GET program decided not to pursue further testing of CFS technologies from that market study.  However, </w:t>
      </w:r>
      <w:r w:rsidR="00304EB4">
        <w:t>a new goal has been identified to gather data to examine the GHG intensities of commercial cooking equipment</w:t>
      </w:r>
      <w:r w:rsidR="000F6EDD">
        <w:t xml:space="preserve">. </w:t>
      </w:r>
    </w:p>
    <w:p w14:paraId="327535A4" w14:textId="2528A27A" w:rsidR="00BB1F7A" w:rsidRDefault="00BB1F7A" w:rsidP="0041184C">
      <w:pPr>
        <w:spacing w:after="240"/>
      </w:pPr>
      <w:r w:rsidRPr="00BB1F7A">
        <w:t>The 2026 plan includes continued work under this goal, following SME interviews conducted in 2025 that identified new high-potential cooking technologies for further analysis.</w:t>
      </w:r>
    </w:p>
    <w:p w14:paraId="4D58409C" w14:textId="4C28F7CF" w:rsidR="001F27A2" w:rsidRDefault="001F27A2" w:rsidP="00541AD4">
      <w:pPr>
        <w:pStyle w:val="Heading3"/>
      </w:pPr>
      <w:bookmarkStart w:id="17" w:name="_Toc213213554"/>
      <w:r>
        <w:t xml:space="preserve">Goal </w:t>
      </w:r>
      <w:r w:rsidR="00125BAE">
        <w:t>3.</w:t>
      </w:r>
      <w:r w:rsidR="00FA3B21">
        <w:t>1</w:t>
      </w:r>
      <w:r>
        <w:t xml:space="preserve">: </w:t>
      </w:r>
      <w:r w:rsidR="000F6EDD">
        <w:t xml:space="preserve">Analyze </w:t>
      </w:r>
      <w:r w:rsidR="000904E7">
        <w:t>GHG Intensity of Gas-Fired Cooking Equipment</w:t>
      </w:r>
      <w:bookmarkEnd w:id="17"/>
    </w:p>
    <w:p w14:paraId="7028E68F" w14:textId="5763FAF2" w:rsidR="005108DE" w:rsidRDefault="00946CBF" w:rsidP="0041184C">
      <w:pPr>
        <w:spacing w:after="240"/>
      </w:pPr>
      <w:r>
        <w:t xml:space="preserve">Title 24 2025 CASE studies include </w:t>
      </w:r>
      <w:r w:rsidR="007F7248">
        <w:t xml:space="preserve">proposed measures that would </w:t>
      </w:r>
      <w:r w:rsidR="00743392">
        <w:t xml:space="preserve">require commercial kitchens to be electric-ready. </w:t>
      </w:r>
      <w:r w:rsidR="00002912">
        <w:t xml:space="preserve">The avoided cost calculator (ACC) shows that the marginal grid-emissions are higher in the evening hours than the morning hours.  </w:t>
      </w:r>
      <w:r w:rsidR="000073D5">
        <w:t xml:space="preserve">Therefore, </w:t>
      </w:r>
      <w:r w:rsidR="007B72AB">
        <w:t xml:space="preserve">the GET program has added a goal to examine the load profiles of commercial kitchen equipment </w:t>
      </w:r>
      <w:r w:rsidR="0055586A">
        <w:t xml:space="preserve">and compare them to the </w:t>
      </w:r>
      <w:r w:rsidR="00EE3036">
        <w:t>grid-emissions profiles</w:t>
      </w:r>
      <w:r w:rsidR="00821A4E">
        <w:t xml:space="preserve"> and </w:t>
      </w:r>
      <w:r w:rsidR="00650D67">
        <w:t>not</w:t>
      </w:r>
      <w:r w:rsidR="006979F4">
        <w:t>ing</w:t>
      </w:r>
      <w:r w:rsidR="00650D67">
        <w:t xml:space="preserve"> potential peak grid impacts</w:t>
      </w:r>
      <w:r w:rsidR="006979F4">
        <w:t xml:space="preserve"> for electrification</w:t>
      </w:r>
      <w:r w:rsidR="00EE3036">
        <w:t>.</w:t>
      </w:r>
    </w:p>
    <w:p w14:paraId="50E6BF65" w14:textId="3476CE79" w:rsidR="00006DB0" w:rsidRDefault="00617C0B" w:rsidP="00617C0B">
      <w:r w:rsidRPr="00617C0B">
        <w:t>In 2025, the GET Program conducted subject-matter expert (SME) interviews focused on gas-fired commercial cooking equipment. The purpose was to identify which gas equipment types offer the greatest potential for savings and where current measure packages or studies have gaps. In 2026, the work will advance by exploring the top SME-recommended gas technologies in more detail, developing targeted exploratory research plans to characterize performance, usage patterns, emissions implications, and cost-effectiveness, and to determine suitability for future pilots or measure development.</w:t>
      </w:r>
    </w:p>
    <w:p w14:paraId="5084E170" w14:textId="77777777" w:rsidR="00617C0B" w:rsidRDefault="00617C0B" w:rsidP="000D1AE2"/>
    <w:p w14:paraId="30AA4E54" w14:textId="0F5527DB" w:rsidR="005360A6" w:rsidRDefault="005360A6" w:rsidP="00B42D15">
      <w:pPr>
        <w:pStyle w:val="Heading4"/>
      </w:pPr>
      <w:r>
        <w:t>Objectives</w:t>
      </w:r>
    </w:p>
    <w:p w14:paraId="047486C2" w14:textId="4767B141" w:rsidR="00FF51FD" w:rsidRDefault="00EE3036" w:rsidP="00AA34F5">
      <w:pPr>
        <w:pStyle w:val="ListParagraph"/>
        <w:numPr>
          <w:ilvl w:val="0"/>
          <w:numId w:val="9"/>
        </w:numPr>
      </w:pPr>
      <w:r>
        <w:t>Gather field data on commercial kitchen cooking equipment load profiles</w:t>
      </w:r>
      <w:r w:rsidR="009E11BE">
        <w:t>.</w:t>
      </w:r>
    </w:p>
    <w:p w14:paraId="0B3AA760" w14:textId="0BE7C221" w:rsidR="00EE3036" w:rsidRDefault="00EE3036" w:rsidP="00AA34F5">
      <w:pPr>
        <w:pStyle w:val="ListParagraph"/>
        <w:numPr>
          <w:ilvl w:val="0"/>
          <w:numId w:val="9"/>
        </w:numPr>
      </w:pPr>
      <w:r>
        <w:t xml:space="preserve">Compare emissions for gas-fired commercial cooking equipment to electric-fired commercial </w:t>
      </w:r>
      <w:r>
        <w:lastRenderedPageBreak/>
        <w:t>cooking equipment</w:t>
      </w:r>
      <w:r w:rsidR="009E11BE">
        <w:t>.</w:t>
      </w:r>
    </w:p>
    <w:p w14:paraId="5DC5B60A" w14:textId="32E963F3" w:rsidR="006D6C07" w:rsidRPr="005360A6" w:rsidRDefault="00F74EEE" w:rsidP="00AA34F5">
      <w:pPr>
        <w:pStyle w:val="ListParagraph"/>
        <w:numPr>
          <w:ilvl w:val="0"/>
          <w:numId w:val="9"/>
        </w:numPr>
      </w:pPr>
      <w:r>
        <w:t xml:space="preserve">Gather information to determine </w:t>
      </w:r>
      <w:proofErr w:type="gramStart"/>
      <w:r>
        <w:t>whether or not</w:t>
      </w:r>
      <w:proofErr w:type="gramEnd"/>
      <w:r>
        <w:t xml:space="preserve"> to launch a broader </w:t>
      </w:r>
      <w:r w:rsidR="00F811EF">
        <w:t>CFS study</w:t>
      </w:r>
      <w:r w:rsidR="00DD3E2C">
        <w:t>.</w:t>
      </w:r>
    </w:p>
    <w:p w14:paraId="2492F799" w14:textId="77777777" w:rsidR="005108DE" w:rsidRDefault="005108DE" w:rsidP="000D1AE2">
      <w:pPr>
        <w:pStyle w:val="ListParagraph"/>
        <w:ind w:left="360" w:firstLine="0"/>
      </w:pPr>
    </w:p>
    <w:p w14:paraId="404F8CB0" w14:textId="6DDDD715" w:rsidR="00B41333" w:rsidRDefault="00B41333" w:rsidP="00AA34F5">
      <w:pPr>
        <w:pStyle w:val="Heading2"/>
        <w:numPr>
          <w:ilvl w:val="0"/>
          <w:numId w:val="24"/>
        </w:numPr>
      </w:pPr>
      <w:bookmarkStart w:id="18" w:name="_Toc213213555"/>
      <w:r>
        <w:t>Industrial</w:t>
      </w:r>
      <w:r w:rsidR="00021FB3">
        <w:t xml:space="preserve"> </w:t>
      </w:r>
      <w:r w:rsidR="00B561A4">
        <w:t>a</w:t>
      </w:r>
      <w:r w:rsidR="00197B75">
        <w:t>nd Agricultur</w:t>
      </w:r>
      <w:r w:rsidR="00B561A4">
        <w:t>e</w:t>
      </w:r>
      <w:r w:rsidR="00197B75">
        <w:t xml:space="preserve"> </w:t>
      </w:r>
      <w:r w:rsidR="00021FB3">
        <w:t>Process</w:t>
      </w:r>
      <w:r w:rsidR="00197B75">
        <w:t>es</w:t>
      </w:r>
      <w:bookmarkEnd w:id="18"/>
    </w:p>
    <w:p w14:paraId="40D6E6A5" w14:textId="77777777" w:rsidR="004244F1" w:rsidRDefault="004244F1" w:rsidP="00BB3686"/>
    <w:p w14:paraId="3E97A271" w14:textId="1E905150" w:rsidR="00BB3686" w:rsidRDefault="00F15D64" w:rsidP="00473BF9">
      <w:r>
        <w:t xml:space="preserve">Scanning and screening work was </w:t>
      </w:r>
      <w:r w:rsidR="00BA13F8">
        <w:t>in</w:t>
      </w:r>
      <w:r w:rsidR="002D247E">
        <w:t>i</w:t>
      </w:r>
      <w:r w:rsidR="00BA13F8">
        <w:t xml:space="preserve">tiated </w:t>
      </w:r>
      <w:r>
        <w:t xml:space="preserve">in </w:t>
      </w:r>
      <w:r w:rsidR="00AD63A9">
        <w:t>2022 to identify emerging technologies in this s</w:t>
      </w:r>
      <w:r w:rsidR="00A43185">
        <w:t>ector</w:t>
      </w:r>
      <w:r w:rsidR="00B86466">
        <w:t xml:space="preserve"> </w:t>
      </w:r>
      <w:r w:rsidR="00BA13F8">
        <w:t xml:space="preserve">and </w:t>
      </w:r>
      <w:r w:rsidR="00B86466">
        <w:t>is still on-going</w:t>
      </w:r>
      <w:r w:rsidR="00C56B3C">
        <w:t xml:space="preserve">. </w:t>
      </w:r>
      <w:r w:rsidR="0000629A">
        <w:t xml:space="preserve">In 2023, the GET program completed </w:t>
      </w:r>
      <w:r w:rsidR="009F5FA1">
        <w:t xml:space="preserve">market assessment </w:t>
      </w:r>
      <w:r w:rsidR="006913A9">
        <w:t>projects to identify and focus on underutilized boi</w:t>
      </w:r>
      <w:r w:rsidR="00730909">
        <w:t>l</w:t>
      </w:r>
      <w:r w:rsidR="006913A9">
        <w:t>er add-on measures.</w:t>
      </w:r>
      <w:r w:rsidR="00730909">
        <w:t xml:space="preserve"> </w:t>
      </w:r>
      <w:r w:rsidR="009F5FA1">
        <w:t>Additional</w:t>
      </w:r>
      <w:r w:rsidR="003F2EBB">
        <w:t xml:space="preserve"> </w:t>
      </w:r>
      <w:r w:rsidR="004F2021">
        <w:t xml:space="preserve">market study </w:t>
      </w:r>
      <w:r w:rsidR="003F2EBB">
        <w:t xml:space="preserve">projects were launched </w:t>
      </w:r>
      <w:r w:rsidR="00D822D4">
        <w:t>in 202</w:t>
      </w:r>
      <w:r w:rsidR="00A46B09">
        <w:t>3</w:t>
      </w:r>
      <w:r w:rsidR="00D822D4">
        <w:t xml:space="preserve"> for </w:t>
      </w:r>
      <w:r w:rsidR="00606B9E">
        <w:t xml:space="preserve">several potential agriculture and process </w:t>
      </w:r>
      <w:r w:rsidR="00CA2837">
        <w:t>applications but have been delayed due to lack of customer and SME input</w:t>
      </w:r>
      <w:r w:rsidR="00606B9E">
        <w:t xml:space="preserve">. </w:t>
      </w:r>
      <w:r w:rsidR="00730909">
        <w:t>Promising technologies were</w:t>
      </w:r>
      <w:r w:rsidR="000E406A">
        <w:t xml:space="preserve"> and or soon will be </w:t>
      </w:r>
      <w:r w:rsidR="00730909">
        <w:t xml:space="preserve">identified from these projects and further field testing is planned.  </w:t>
      </w:r>
      <w:r w:rsidR="00487D85">
        <w:t xml:space="preserve">Additionally, </w:t>
      </w:r>
      <w:r w:rsidR="00C86635">
        <w:t xml:space="preserve">scanning and screening in this sector revealed other technologies for which additional testing is planned. </w:t>
      </w:r>
      <w:r w:rsidR="006913A9">
        <w:t xml:space="preserve"> </w:t>
      </w:r>
      <w:r w:rsidR="007F08F3">
        <w:t xml:space="preserve">2024 had many </w:t>
      </w:r>
      <w:r w:rsidR="008707B3">
        <w:t>challenges</w:t>
      </w:r>
      <w:r w:rsidR="007F08F3">
        <w:t xml:space="preserve"> in getting </w:t>
      </w:r>
      <w:r w:rsidR="008707B3">
        <w:t xml:space="preserve">information for this area, so we have left </w:t>
      </w:r>
      <w:r w:rsidR="00B82CA0">
        <w:t xml:space="preserve">these </w:t>
      </w:r>
      <w:r w:rsidR="008E54D5">
        <w:t>goals</w:t>
      </w:r>
      <w:r w:rsidR="008707B3">
        <w:t xml:space="preserve"> in place with few changes.</w:t>
      </w:r>
    </w:p>
    <w:p w14:paraId="46D5224A" w14:textId="5A3FA37D" w:rsidR="00B41333" w:rsidRDefault="00B86466" w:rsidP="00B41333">
      <w:r>
        <w:t xml:space="preserve">  </w:t>
      </w:r>
    </w:p>
    <w:p w14:paraId="4E8A138C" w14:textId="1EA59EFF" w:rsidR="00B7369D" w:rsidRDefault="00B7369D" w:rsidP="00F164C9">
      <w:pPr>
        <w:pStyle w:val="Heading3"/>
      </w:pPr>
      <w:bookmarkStart w:id="19" w:name="_Toc213213556"/>
      <w:r>
        <w:t xml:space="preserve">Goal </w:t>
      </w:r>
      <w:r w:rsidR="00EE3036">
        <w:t>4.</w:t>
      </w:r>
      <w:r w:rsidR="00FA3B21">
        <w:t>1</w:t>
      </w:r>
      <w:r>
        <w:t xml:space="preserve">: </w:t>
      </w:r>
      <w:r w:rsidR="00C04199">
        <w:t>Scope</w:t>
      </w:r>
      <w:r w:rsidR="00DC0923">
        <w:t xml:space="preserve"> </w:t>
      </w:r>
      <w:r w:rsidR="00DC2602">
        <w:t xml:space="preserve">and test </w:t>
      </w:r>
      <w:r w:rsidR="00DC0923">
        <w:t>natural gas end-use process in the</w:t>
      </w:r>
      <w:r w:rsidR="00895938">
        <w:t xml:space="preserve"> industrial</w:t>
      </w:r>
      <w:r w:rsidR="00FB4BEE">
        <w:t xml:space="preserve"> and </w:t>
      </w:r>
      <w:r w:rsidR="00DB44A7">
        <w:t>agriculture</w:t>
      </w:r>
      <w:r w:rsidR="00FB4BEE">
        <w:t xml:space="preserve"> sectors</w:t>
      </w:r>
      <w:bookmarkEnd w:id="19"/>
    </w:p>
    <w:p w14:paraId="5CF2856F" w14:textId="52BB1344" w:rsidR="00895938" w:rsidRDefault="00C04199" w:rsidP="00962568">
      <w:r>
        <w:t>This is</w:t>
      </w:r>
      <w:r w:rsidR="00DC2602">
        <w:t xml:space="preserve"> a </w:t>
      </w:r>
      <w:r>
        <w:t>revised goal from the 2022 research plan to address new potential technologies we have identified</w:t>
      </w:r>
      <w:r w:rsidR="00DA3A6C">
        <w:t xml:space="preserve"> and </w:t>
      </w:r>
      <w:r w:rsidR="00697F04">
        <w:t>possibly to</w:t>
      </w:r>
      <w:r w:rsidR="00DA3A6C">
        <w:t xml:space="preserve"> try again to launch a steam trap </w:t>
      </w:r>
      <w:r w:rsidR="00F22568">
        <w:t xml:space="preserve">monitoring </w:t>
      </w:r>
      <w:r w:rsidR="00DA3A6C">
        <w:t xml:space="preserve">field </w:t>
      </w:r>
      <w:r w:rsidR="00F22568">
        <w:t>testing</w:t>
      </w:r>
      <w:r w:rsidR="00DA3A6C">
        <w:t xml:space="preserve"> </w:t>
      </w:r>
      <w:r w:rsidR="00697F04">
        <w:t xml:space="preserve">project </w:t>
      </w:r>
      <w:r w:rsidR="00DA3A6C">
        <w:t xml:space="preserve">after </w:t>
      </w:r>
      <w:r w:rsidR="009802A5">
        <w:t xml:space="preserve">multiple challenges in getting industry </w:t>
      </w:r>
      <w:r w:rsidR="00DC2602">
        <w:t>participation but</w:t>
      </w:r>
      <w:r w:rsidR="009802A5">
        <w:t xml:space="preserve"> </w:t>
      </w:r>
      <w:r w:rsidR="00DC2602">
        <w:t>re-</w:t>
      </w:r>
      <w:r w:rsidR="009802A5">
        <w:t xml:space="preserve">inspired by </w:t>
      </w:r>
      <w:r w:rsidR="00DA3A6C">
        <w:t xml:space="preserve">hearing one customer </w:t>
      </w:r>
      <w:proofErr w:type="gramStart"/>
      <w:r w:rsidR="00DA3A6C">
        <w:t>who’s</w:t>
      </w:r>
      <w:proofErr w:type="gramEnd"/>
      <w:r w:rsidR="00DA3A6C">
        <w:t xml:space="preserve"> internal pilot had failed.  </w:t>
      </w:r>
    </w:p>
    <w:p w14:paraId="05850E9C" w14:textId="77777777" w:rsidR="00541AD4" w:rsidRDefault="00541AD4" w:rsidP="00B42D15">
      <w:pPr>
        <w:pStyle w:val="Heading4"/>
      </w:pPr>
    </w:p>
    <w:p w14:paraId="4D1E58B0" w14:textId="350E13FA" w:rsidR="00983D72" w:rsidRDefault="00983D72" w:rsidP="00983D72">
      <w:r w:rsidRPr="00983D72">
        <w:t xml:space="preserve">In 2025, the GET Program also initiated analytical work to evaluate efficiency-improving technologies within controlled-environment agriculture (CEA). One example is the </w:t>
      </w:r>
      <w:r w:rsidRPr="000D1AE2">
        <w:t>Greenhouse Dehumidification Analysis</w:t>
      </w:r>
      <w:r w:rsidRPr="00983D72">
        <w:t xml:space="preserve"> project, which assesses three commercially available dehumidification systems for their potential to reduce natural gas consumption by improving humidity-control efficiency. Using advanced modeling software and literature-reviewed performance data, the study compares these systems across multiple California climate zones for a representative crop type. The results will help identify viable market opportunities, quantify energy and GHG savings, and inform future research priorities in the agriculture sector.</w:t>
      </w:r>
    </w:p>
    <w:p w14:paraId="1BD66DAF" w14:textId="77777777" w:rsidR="00A07670" w:rsidRDefault="00A07670" w:rsidP="00983D72"/>
    <w:p w14:paraId="3F4A7D7F" w14:textId="7178186A" w:rsidR="00A07670" w:rsidRPr="00983D72" w:rsidRDefault="00A07670" w:rsidP="00983D72">
      <w:r>
        <w:t xml:space="preserve">In 2025, the program also indicated a steam trap monitoring effort to assess both the technology and the behavioral response to it.  This effort will continue into 2026. </w:t>
      </w:r>
    </w:p>
    <w:p w14:paraId="5F278CE9" w14:textId="77777777" w:rsidR="00983D72" w:rsidRPr="00983D72" w:rsidRDefault="00983D72" w:rsidP="000D1AE2"/>
    <w:p w14:paraId="7EEA18AB" w14:textId="1C76681E" w:rsidR="00D9205D" w:rsidRDefault="00D9205D" w:rsidP="00B42D15">
      <w:pPr>
        <w:pStyle w:val="Heading4"/>
      </w:pPr>
      <w:r>
        <w:t>Objectives</w:t>
      </w:r>
    </w:p>
    <w:p w14:paraId="32AE99E4" w14:textId="61F81AD9" w:rsidR="00BE418B" w:rsidRDefault="006E0BCE" w:rsidP="00AA34F5">
      <w:pPr>
        <w:pStyle w:val="ListParagraph"/>
        <w:numPr>
          <w:ilvl w:val="0"/>
          <w:numId w:val="10"/>
        </w:numPr>
      </w:pPr>
      <w:r>
        <w:t>Complete</w:t>
      </w:r>
      <w:r w:rsidR="00DC0923">
        <w:t xml:space="preserve"> effort</w:t>
      </w:r>
      <w:r>
        <w:t>s</w:t>
      </w:r>
      <w:r w:rsidR="00DC0923">
        <w:t xml:space="preserve"> to scan and screen emerging technologies that address process loads</w:t>
      </w:r>
      <w:r>
        <w:t>.</w:t>
      </w:r>
      <w:r w:rsidR="00DC0923">
        <w:t xml:space="preserve"> </w:t>
      </w:r>
    </w:p>
    <w:p w14:paraId="3511965F" w14:textId="5BCC750D" w:rsidR="00FA4EAF" w:rsidRDefault="000A039A" w:rsidP="001D5D78">
      <w:pPr>
        <w:pStyle w:val="ListParagraph"/>
        <w:numPr>
          <w:ilvl w:val="0"/>
          <w:numId w:val="10"/>
        </w:numPr>
      </w:pPr>
      <w:r w:rsidRPr="3A964361">
        <w:t>Identify technologies and controls that can provide “</w:t>
      </w:r>
      <w:r>
        <w:t>o</w:t>
      </w:r>
      <w:r w:rsidRPr="3A964361">
        <w:t xml:space="preserve">ff the shelf” </w:t>
      </w:r>
      <w:r w:rsidR="006E0BCE">
        <w:t xml:space="preserve">“deemed” </w:t>
      </w:r>
      <w:r w:rsidRPr="3A964361">
        <w:t xml:space="preserve">high efficiency solutions to existing applications especially for small </w:t>
      </w:r>
      <w:r w:rsidR="003A29F9">
        <w:t>i</w:t>
      </w:r>
      <w:r w:rsidR="003A29F9" w:rsidRPr="00841AEE">
        <w:t xml:space="preserve">ndustrial </w:t>
      </w:r>
      <w:r w:rsidRPr="00841AEE">
        <w:t xml:space="preserve">and </w:t>
      </w:r>
      <w:r w:rsidR="003A29F9">
        <w:t>a</w:t>
      </w:r>
      <w:r w:rsidR="003A29F9" w:rsidRPr="00841AEE">
        <w:t xml:space="preserve">griculture </w:t>
      </w:r>
      <w:r w:rsidRPr="00841AEE">
        <w:t>customers</w:t>
      </w:r>
      <w:r w:rsidR="002323DE">
        <w:t xml:space="preserve">.  </w:t>
      </w:r>
      <w:r w:rsidR="00FA4EAF">
        <w:t>These may include</w:t>
      </w:r>
      <w:r w:rsidR="00154097">
        <w:t xml:space="preserve"> one or more of the following</w:t>
      </w:r>
      <w:r w:rsidR="00FA4EAF">
        <w:t>:</w:t>
      </w:r>
    </w:p>
    <w:p w14:paraId="1582AD2F" w14:textId="14F0D24B" w:rsidR="001A4E9C" w:rsidRDefault="00BD79C5" w:rsidP="00AA34F5">
      <w:pPr>
        <w:pStyle w:val="ListParagraph"/>
        <w:numPr>
          <w:ilvl w:val="1"/>
          <w:numId w:val="10"/>
        </w:numPr>
      </w:pPr>
      <w:r>
        <w:t xml:space="preserve">Dual </w:t>
      </w:r>
      <w:proofErr w:type="gramStart"/>
      <w:r>
        <w:t>condensate</w:t>
      </w:r>
      <w:proofErr w:type="gramEnd"/>
      <w:r>
        <w:t xml:space="preserve"> return boilers</w:t>
      </w:r>
      <w:r w:rsidR="00ED2420">
        <w:t>.</w:t>
      </w:r>
    </w:p>
    <w:p w14:paraId="09424E29" w14:textId="071D2CCB" w:rsidR="005A2ADD" w:rsidRDefault="005A2ADD" w:rsidP="00AA34F5">
      <w:pPr>
        <w:pStyle w:val="ListParagraph"/>
        <w:numPr>
          <w:ilvl w:val="1"/>
          <w:numId w:val="10"/>
        </w:numPr>
      </w:pPr>
      <w:r>
        <w:t>Ceramic boiler heat exchangers</w:t>
      </w:r>
      <w:r w:rsidR="00ED2420">
        <w:t>.</w:t>
      </w:r>
    </w:p>
    <w:p w14:paraId="650C8180" w14:textId="6D99FDF4" w:rsidR="000A039A" w:rsidRDefault="0093410C" w:rsidP="00AA34F5">
      <w:pPr>
        <w:pStyle w:val="ListParagraph"/>
        <w:numPr>
          <w:ilvl w:val="1"/>
          <w:numId w:val="10"/>
        </w:numPr>
      </w:pPr>
      <w:r>
        <w:t>U</w:t>
      </w:r>
      <w:r w:rsidR="00DC1955">
        <w:t>nderutilized add-on</w:t>
      </w:r>
      <w:r w:rsidR="000A039A">
        <w:t xml:space="preserve"> technologies </w:t>
      </w:r>
      <w:r w:rsidR="0073617C">
        <w:t xml:space="preserve">(steam trap monitoring) </w:t>
      </w:r>
      <w:r w:rsidR="000A039A">
        <w:t>or new style of venturi steam traps may allow for a deemed or hybrid custom solution</w:t>
      </w:r>
    </w:p>
    <w:p w14:paraId="70D8EE3A" w14:textId="5E572AD4" w:rsidR="001A4E9C" w:rsidRDefault="00154097" w:rsidP="00AA34F5">
      <w:pPr>
        <w:pStyle w:val="ListParagraph"/>
        <w:numPr>
          <w:ilvl w:val="1"/>
          <w:numId w:val="10"/>
        </w:numPr>
      </w:pPr>
      <w:r>
        <w:t xml:space="preserve">Process </w:t>
      </w:r>
      <w:r w:rsidR="00D554CB">
        <w:t>c</w:t>
      </w:r>
      <w:r w:rsidR="00C52EF3">
        <w:t>ontrols</w:t>
      </w:r>
      <w:r w:rsidR="00ED2420">
        <w:t>.</w:t>
      </w:r>
    </w:p>
    <w:p w14:paraId="53B4F02D" w14:textId="348DBA0C" w:rsidR="00C52EF3" w:rsidRDefault="00C52EF3" w:rsidP="00AA34F5">
      <w:pPr>
        <w:pStyle w:val="ListParagraph"/>
        <w:numPr>
          <w:ilvl w:val="1"/>
          <w:numId w:val="10"/>
        </w:numPr>
      </w:pPr>
      <w:r>
        <w:t>Thermal imaging</w:t>
      </w:r>
      <w:r w:rsidR="00ED2420">
        <w:t>.</w:t>
      </w:r>
    </w:p>
    <w:p w14:paraId="597BBC7B" w14:textId="6CEAF469" w:rsidR="00246852" w:rsidRDefault="004E7B3D" w:rsidP="00AA34F5">
      <w:pPr>
        <w:pStyle w:val="ListParagraph"/>
        <w:numPr>
          <w:ilvl w:val="1"/>
          <w:numId w:val="10"/>
        </w:numPr>
      </w:pPr>
      <w:r>
        <w:lastRenderedPageBreak/>
        <w:t>Explore one of five different potential new measures identified in the CEA segment</w:t>
      </w:r>
      <w:r w:rsidR="00BE418B">
        <w:t>, which</w:t>
      </w:r>
      <w:r>
        <w:t xml:space="preserve"> include</w:t>
      </w:r>
      <w:r w:rsidR="00F425DD">
        <w:t>s</w:t>
      </w:r>
      <w:r>
        <w:t xml:space="preserve"> additional research and/or field work</w:t>
      </w:r>
      <w:r w:rsidR="00F425DD">
        <w:t xml:space="preserve"> on rootzone heating</w:t>
      </w:r>
      <w:r>
        <w:t>.</w:t>
      </w:r>
    </w:p>
    <w:p w14:paraId="3FE4DFEA" w14:textId="77777777" w:rsidR="00D07F2A" w:rsidRDefault="00D07F2A" w:rsidP="0096112F">
      <w:pPr>
        <w:pStyle w:val="ListParagraph"/>
        <w:numPr>
          <w:ilvl w:val="1"/>
          <w:numId w:val="10"/>
        </w:numPr>
      </w:pPr>
      <w:r w:rsidRPr="000D1AE2">
        <w:t>Mechanical Vapor Recompression (MVR) for Food and Dairy Processing – Field study to quantify energy savings and integration requirements of MVR systems in butter and other evaporative applications.</w:t>
      </w:r>
    </w:p>
    <w:p w14:paraId="75082677" w14:textId="19A4B764" w:rsidR="0096112F" w:rsidRPr="00D07F2A" w:rsidRDefault="00D07F2A" w:rsidP="0096112F">
      <w:pPr>
        <w:pStyle w:val="ListParagraph"/>
        <w:numPr>
          <w:ilvl w:val="1"/>
          <w:numId w:val="10"/>
        </w:numPr>
      </w:pPr>
      <w:r w:rsidRPr="000D1AE2">
        <w:t>High-Speed Roll Doors for Poultry Housing – Field evaluation of automated insulated door systems to reduce heating loads and improve temperature control for broiler production facilities.</w:t>
      </w:r>
    </w:p>
    <w:p w14:paraId="6938D6FF" w14:textId="57AD49F5" w:rsidR="00F85439" w:rsidRDefault="004B5562" w:rsidP="00AA34F5">
      <w:pPr>
        <w:pStyle w:val="ListParagraph"/>
        <w:numPr>
          <w:ilvl w:val="0"/>
          <w:numId w:val="10"/>
        </w:numPr>
      </w:pPr>
      <w:r>
        <w:t xml:space="preserve">Identify the needed steps and gaps to support new </w:t>
      </w:r>
      <w:r w:rsidR="002C0E60">
        <w:t>measures.</w:t>
      </w:r>
    </w:p>
    <w:p w14:paraId="0D7AD235" w14:textId="7649D098" w:rsidR="00F85439" w:rsidRDefault="00F85439" w:rsidP="00AA34F5">
      <w:pPr>
        <w:pStyle w:val="ListParagraph"/>
        <w:numPr>
          <w:ilvl w:val="0"/>
          <w:numId w:val="10"/>
        </w:numPr>
      </w:pPr>
      <w:r>
        <w:t xml:space="preserve">Initiate </w:t>
      </w:r>
      <w:r w:rsidR="004B5562">
        <w:t>as needed fieldwork</w:t>
      </w:r>
      <w:r>
        <w:t xml:space="preserve"> to fill in existing gaps.</w:t>
      </w:r>
    </w:p>
    <w:p w14:paraId="2001897B" w14:textId="77777777" w:rsidR="00ED622A" w:rsidRDefault="00ED622A" w:rsidP="00875DC8"/>
    <w:p w14:paraId="26582787" w14:textId="5F56CCF4" w:rsidR="00302574" w:rsidRPr="003D5740" w:rsidRDefault="00302574" w:rsidP="00302574">
      <w:pPr>
        <w:pStyle w:val="Heading3"/>
      </w:pPr>
      <w:bookmarkStart w:id="20" w:name="_Toc213213557"/>
      <w:r w:rsidRPr="003D5740">
        <w:t>Goal 4.</w:t>
      </w:r>
      <w:r w:rsidR="0045601A" w:rsidRPr="003D5740">
        <w:t>2</w:t>
      </w:r>
      <w:r w:rsidRPr="003D5740">
        <w:t>: Improve product/operational efficiency of natural gas end-use process in the industrial, agriculture</w:t>
      </w:r>
      <w:r w:rsidR="00FA4EAF" w:rsidRPr="003D5740">
        <w:t xml:space="preserve"> sectors</w:t>
      </w:r>
      <w:bookmarkEnd w:id="20"/>
    </w:p>
    <w:p w14:paraId="1BC9180A" w14:textId="77777777" w:rsidR="0045601A" w:rsidRPr="003D5740" w:rsidRDefault="0045601A" w:rsidP="00302574"/>
    <w:p w14:paraId="1EF13A90" w14:textId="08422EE9" w:rsidR="00302574" w:rsidRPr="003D5740" w:rsidRDefault="002C0E60" w:rsidP="00302574">
      <w:r w:rsidRPr="003D5740">
        <w:t xml:space="preserve">There are </w:t>
      </w:r>
      <w:r w:rsidR="007B6013" w:rsidRPr="003D5740">
        <w:t>multiple</w:t>
      </w:r>
      <w:r w:rsidRPr="003D5740">
        <w:t xml:space="preserve"> process </w:t>
      </w:r>
      <w:r w:rsidR="007B6013" w:rsidRPr="003D5740">
        <w:t xml:space="preserve">technologies that are </w:t>
      </w:r>
      <w:r w:rsidR="003677D7" w:rsidRPr="003D5740">
        <w:t>being</w:t>
      </w:r>
      <w:r w:rsidR="007B6013" w:rsidRPr="003D5740">
        <w:t xml:space="preserve"> </w:t>
      </w:r>
      <w:r w:rsidR="003677D7" w:rsidRPr="003D5740">
        <w:t>studied</w:t>
      </w:r>
      <w:r w:rsidR="007B6013" w:rsidRPr="003D5740">
        <w:t xml:space="preserve"> in 2023.  </w:t>
      </w:r>
      <w:r w:rsidR="003D5740">
        <w:t>In addition to looking for new technologies, we are aware of an industrial GAHP for process loads</w:t>
      </w:r>
      <w:r w:rsidR="00E21229">
        <w:t xml:space="preserve"> that would be a good candidate for field testing and evaluation.  </w:t>
      </w:r>
      <w:r w:rsidR="005D2ADE" w:rsidRPr="003D5740">
        <w:t>As part of this new goal, w</w:t>
      </w:r>
      <w:r w:rsidR="007B6013" w:rsidRPr="003D5740">
        <w:t xml:space="preserve">e </w:t>
      </w:r>
      <w:r w:rsidR="00AA34F5" w:rsidRPr="003D5740">
        <w:t>plan</w:t>
      </w:r>
      <w:r w:rsidR="007B6013" w:rsidRPr="003D5740">
        <w:t xml:space="preserve"> to</w:t>
      </w:r>
      <w:r w:rsidR="003677D7" w:rsidRPr="003D5740">
        <w:t xml:space="preserve"> </w:t>
      </w:r>
      <w:r w:rsidR="007B6013" w:rsidRPr="003D5740">
        <w:t xml:space="preserve">target one or more </w:t>
      </w:r>
      <w:r w:rsidR="003677D7" w:rsidRPr="003D5740">
        <w:t>emerging or underutilized technologies to demonstrate their effectiveness.</w:t>
      </w:r>
    </w:p>
    <w:p w14:paraId="27607BF5" w14:textId="77777777" w:rsidR="00302574" w:rsidRPr="003D5740" w:rsidRDefault="00302574" w:rsidP="00302574">
      <w:pPr>
        <w:pStyle w:val="Heading4"/>
      </w:pPr>
    </w:p>
    <w:p w14:paraId="3B803115" w14:textId="77777777" w:rsidR="00302574" w:rsidRPr="003D5740" w:rsidRDefault="00302574" w:rsidP="00302574">
      <w:pPr>
        <w:pStyle w:val="Heading4"/>
      </w:pPr>
      <w:r w:rsidRPr="003D5740">
        <w:t>Objectives</w:t>
      </w:r>
    </w:p>
    <w:p w14:paraId="3FE7CC9E" w14:textId="614F8003" w:rsidR="00302574" w:rsidRPr="003D5740" w:rsidRDefault="00520A94" w:rsidP="00AA34F5">
      <w:pPr>
        <w:pStyle w:val="ListParagraph"/>
        <w:numPr>
          <w:ilvl w:val="0"/>
          <w:numId w:val="26"/>
        </w:numPr>
      </w:pPr>
      <w:r w:rsidRPr="003D5740">
        <w:t xml:space="preserve">Prioritize </w:t>
      </w:r>
      <w:r w:rsidR="00213D03" w:rsidRPr="003D5740">
        <w:t>a</w:t>
      </w:r>
      <w:r w:rsidRPr="003D5740">
        <w:t xml:space="preserve"> process improvement project that </w:t>
      </w:r>
      <w:r w:rsidR="00213D03" w:rsidRPr="003D5740">
        <w:t>could leverage new/underutilized technologies to improve process efficiency.</w:t>
      </w:r>
    </w:p>
    <w:p w14:paraId="250E54AC" w14:textId="79443CFC" w:rsidR="00213D03" w:rsidRPr="003D5740" w:rsidRDefault="00213D03" w:rsidP="00AA34F5">
      <w:pPr>
        <w:pStyle w:val="ListParagraph"/>
        <w:numPr>
          <w:ilvl w:val="0"/>
          <w:numId w:val="26"/>
        </w:numPr>
      </w:pPr>
      <w:r w:rsidRPr="003D5740">
        <w:t>Assess viability of th</w:t>
      </w:r>
      <w:r w:rsidR="00961072" w:rsidRPr="003D5740">
        <w:t>ese</w:t>
      </w:r>
      <w:r w:rsidRPr="003D5740">
        <w:t xml:space="preserve"> potential solutions</w:t>
      </w:r>
      <w:r w:rsidR="005D2ADE" w:rsidRPr="003D5740">
        <w:t>.</w:t>
      </w:r>
    </w:p>
    <w:p w14:paraId="27E06E98" w14:textId="035CEEA9" w:rsidR="00213D03" w:rsidRPr="003D5740" w:rsidRDefault="00213D03" w:rsidP="00AA34F5">
      <w:pPr>
        <w:pStyle w:val="ListParagraph"/>
        <w:numPr>
          <w:ilvl w:val="0"/>
          <w:numId w:val="26"/>
        </w:numPr>
      </w:pPr>
      <w:r w:rsidRPr="003D5740">
        <w:t>Scope work with customer</w:t>
      </w:r>
      <w:r w:rsidR="00216E84">
        <w:t>s</w:t>
      </w:r>
      <w:r w:rsidRPr="003D5740">
        <w:t xml:space="preserve"> and/or vendors</w:t>
      </w:r>
      <w:r w:rsidR="005D2ADE" w:rsidRPr="003D5740">
        <w:t>.</w:t>
      </w:r>
    </w:p>
    <w:p w14:paraId="65B339A7" w14:textId="07FFFDF3" w:rsidR="00AE2257" w:rsidRDefault="00D554CB">
      <w:pPr>
        <w:pStyle w:val="ListParagraph"/>
        <w:numPr>
          <w:ilvl w:val="0"/>
          <w:numId w:val="26"/>
        </w:numPr>
      </w:pPr>
      <w:r w:rsidRPr="003D5740">
        <w:t xml:space="preserve">Do </w:t>
      </w:r>
      <w:r w:rsidR="00AA34F5" w:rsidRPr="003D5740">
        <w:t>groundwork</w:t>
      </w:r>
      <w:r w:rsidRPr="003D5740">
        <w:t xml:space="preserve"> to launch </w:t>
      </w:r>
      <w:r w:rsidR="00F23536">
        <w:t>one or more</w:t>
      </w:r>
      <w:r w:rsidRPr="003D5740">
        <w:t xml:space="preserve"> field stud</w:t>
      </w:r>
      <w:r w:rsidR="00F23536">
        <w:t>ies</w:t>
      </w:r>
      <w:r w:rsidRPr="003D5740">
        <w:t>.</w:t>
      </w:r>
    </w:p>
    <w:p w14:paraId="4082D7E2" w14:textId="77777777" w:rsidR="00DF1648" w:rsidRPr="00DF1648" w:rsidRDefault="00E56ACE" w:rsidP="00DF1648">
      <w:pPr>
        <w:pStyle w:val="ListParagraph"/>
        <w:numPr>
          <w:ilvl w:val="1"/>
          <w:numId w:val="30"/>
        </w:numPr>
      </w:pPr>
      <w:r w:rsidRPr="00DF1648">
        <w:t>WHET (Waste Heat Enhanced Transfer) Demonstration – Field demonstration of an advanced waste-heat recovery system to increase heat transfer efficiency in industrial processes.</w:t>
      </w:r>
    </w:p>
    <w:p w14:paraId="702B660F" w14:textId="77777777" w:rsidR="00DF1648" w:rsidRPr="00DF1648" w:rsidRDefault="00E56ACE" w:rsidP="00DF1648">
      <w:pPr>
        <w:pStyle w:val="ListParagraph"/>
        <w:numPr>
          <w:ilvl w:val="1"/>
          <w:numId w:val="30"/>
        </w:numPr>
      </w:pPr>
      <w:r w:rsidRPr="00DF1648">
        <w:t>Advanced Oxy-Gas Burner Demonstration – Evaluation of high-temperature oxy-fuel burners to reduce fuel consumption and NOx emissions in industrial heating applications.</w:t>
      </w:r>
    </w:p>
    <w:p w14:paraId="77C0B807" w14:textId="77777777" w:rsidR="00DF1648" w:rsidRPr="000D1AE2" w:rsidRDefault="00E56ACE" w:rsidP="00DF1648">
      <w:pPr>
        <w:pStyle w:val="ListParagraph"/>
        <w:numPr>
          <w:ilvl w:val="1"/>
          <w:numId w:val="30"/>
        </w:numPr>
      </w:pPr>
      <w:r w:rsidRPr="00DF1648">
        <w:t>Demonstration of Improved Coating for Molten Material Components – Testing durable protective coatings to extend equipment life and enhance thermal efficiency in molten-material handling systems</w:t>
      </w:r>
      <w:r w:rsidR="00DF1648" w:rsidRPr="000D1AE2">
        <w:t>.</w:t>
      </w:r>
    </w:p>
    <w:p w14:paraId="7C8CDAFB" w14:textId="7CA597E2" w:rsidR="00F94B9E" w:rsidRDefault="00E56ACE" w:rsidP="00DF1648">
      <w:pPr>
        <w:pStyle w:val="ListParagraph"/>
        <w:numPr>
          <w:ilvl w:val="1"/>
          <w:numId w:val="30"/>
        </w:numPr>
      </w:pPr>
      <w:r w:rsidRPr="00DF1648">
        <w:t xml:space="preserve"> High-Temperature Heat Exchanger Demonstration (RRSE) – Demonstration of a robust regenerative heat exchanger design to recover waste heat and reduce fuel use in industrial furnace operations.</w:t>
      </w:r>
    </w:p>
    <w:p w14:paraId="3B7091E3" w14:textId="7CE4A315" w:rsidR="006E7136" w:rsidRPr="00DF1648" w:rsidRDefault="00D04E9E" w:rsidP="000D1AE2">
      <w:pPr>
        <w:pStyle w:val="ListParagraph"/>
        <w:numPr>
          <w:ilvl w:val="1"/>
          <w:numId w:val="30"/>
        </w:numPr>
      </w:pPr>
      <w:r w:rsidRPr="00D04E9E">
        <w:t>High-Temperature Process Heat Pump – Evaluation of high-temperature process heat pump technologies that can recover and upgrade waste heat for use in industrial processes above 150 °C, improving system efficiency and reducing fuel consumption.</w:t>
      </w:r>
    </w:p>
    <w:p w14:paraId="38B22173" w14:textId="77777777" w:rsidR="00723D59" w:rsidRPr="003D5740" w:rsidRDefault="00723D59" w:rsidP="00723D59">
      <w:pPr>
        <w:pStyle w:val="ListParagraph"/>
        <w:ind w:left="720" w:firstLine="0"/>
      </w:pPr>
    </w:p>
    <w:p w14:paraId="62F587C4" w14:textId="77777777" w:rsidR="004B2979" w:rsidRDefault="004B2979" w:rsidP="004B2979"/>
    <w:p w14:paraId="48799E54" w14:textId="1DC308D9" w:rsidR="00AC5805" w:rsidRDefault="00B41333" w:rsidP="00AA34F5">
      <w:pPr>
        <w:pStyle w:val="Heading2"/>
        <w:numPr>
          <w:ilvl w:val="0"/>
          <w:numId w:val="24"/>
        </w:numPr>
      </w:pPr>
      <w:bookmarkStart w:id="21" w:name="_Toc213213558"/>
      <w:r>
        <w:t>Cross-Cutting</w:t>
      </w:r>
      <w:bookmarkEnd w:id="21"/>
    </w:p>
    <w:p w14:paraId="73859D9E" w14:textId="77777777" w:rsidR="00473BF9" w:rsidRDefault="00473BF9" w:rsidP="0052739B"/>
    <w:p w14:paraId="25D7CA71" w14:textId="7D279B81" w:rsidR="005673DD" w:rsidRDefault="005673DD" w:rsidP="0052739B">
      <w:r>
        <w:t xml:space="preserve">Numerous technologies have emerged as having applicability to multiple sectors and/or </w:t>
      </w:r>
      <w:r w:rsidR="00335952">
        <w:t xml:space="preserve">end use </w:t>
      </w:r>
      <w:r>
        <w:t xml:space="preserve">technologies. </w:t>
      </w:r>
      <w:r w:rsidR="000D1968">
        <w:t>In</w:t>
      </w:r>
      <w:r>
        <w:t xml:space="preserve"> 2023, </w:t>
      </w:r>
      <w:r w:rsidR="000D1968">
        <w:t xml:space="preserve">a </w:t>
      </w:r>
      <w:r w:rsidR="00BB3686">
        <w:t xml:space="preserve">new category </w:t>
      </w:r>
      <w:r w:rsidR="0023468D">
        <w:t>w</w:t>
      </w:r>
      <w:r w:rsidR="00BB3686">
        <w:t xml:space="preserve">as </w:t>
      </w:r>
      <w:r>
        <w:t>created to capture those</w:t>
      </w:r>
      <w:r w:rsidR="00C56B3C">
        <w:t xml:space="preserve">. </w:t>
      </w:r>
      <w:r w:rsidR="00BA03FE">
        <w:t xml:space="preserve">As some of the </w:t>
      </w:r>
      <w:r w:rsidR="002D221C">
        <w:t xml:space="preserve">products </w:t>
      </w:r>
      <w:r w:rsidR="008E1155">
        <w:t xml:space="preserve">have lower </w:t>
      </w:r>
      <w:r w:rsidR="002D221C">
        <w:t>TRL</w:t>
      </w:r>
      <w:r w:rsidR="008E1155">
        <w:t>s</w:t>
      </w:r>
      <w:r w:rsidR="002D221C">
        <w:t xml:space="preserve">, </w:t>
      </w:r>
      <w:r w:rsidR="00095EF5">
        <w:t>the GET program</w:t>
      </w:r>
      <w:r w:rsidR="002D221C">
        <w:t xml:space="preserve"> ha</w:t>
      </w:r>
      <w:r w:rsidR="00095EF5">
        <w:t>s</w:t>
      </w:r>
      <w:r w:rsidR="002D221C">
        <w:t xml:space="preserve"> re-focused on products that are at TRL </w:t>
      </w:r>
      <w:r w:rsidR="00762ECA">
        <w:t>8 or higher</w:t>
      </w:r>
      <w:r w:rsidR="008E1155">
        <w:t xml:space="preserve"> and</w:t>
      </w:r>
      <w:r w:rsidR="002D221C">
        <w:t xml:space="preserve"> have updated this goal accordingly.  </w:t>
      </w:r>
      <w:r w:rsidR="00EF6DD7">
        <w:t xml:space="preserve">The list below summarizes some of </w:t>
      </w:r>
      <w:r w:rsidR="00FE65E3">
        <w:t xml:space="preserve">the technologies warranting greater </w:t>
      </w:r>
      <w:r w:rsidR="00C56E32">
        <w:t>focus</w:t>
      </w:r>
      <w:r w:rsidR="000E76FA">
        <w:t xml:space="preserve"> in </w:t>
      </w:r>
      <w:r w:rsidR="00986B94">
        <w:t>202</w:t>
      </w:r>
      <w:r w:rsidR="00197C3D">
        <w:t>6</w:t>
      </w:r>
      <w:r w:rsidR="00955681">
        <w:t>:</w:t>
      </w:r>
    </w:p>
    <w:p w14:paraId="2E6CCA5C" w14:textId="3586F41F" w:rsidR="00B82DE5" w:rsidRDefault="00F87F65" w:rsidP="00AA34F5">
      <w:pPr>
        <w:pStyle w:val="ListParagraph"/>
        <w:numPr>
          <w:ilvl w:val="0"/>
          <w:numId w:val="17"/>
        </w:numPr>
      </w:pPr>
      <w:r>
        <w:t xml:space="preserve">Ultra </w:t>
      </w:r>
      <w:r w:rsidR="00AB27A2">
        <w:t xml:space="preserve">Low NOx </w:t>
      </w:r>
      <w:r w:rsidR="00870FEA">
        <w:t xml:space="preserve">and </w:t>
      </w:r>
      <w:r w:rsidR="00B82DE5">
        <w:t>Low N</w:t>
      </w:r>
      <w:r w:rsidR="00881354">
        <w:t>O</w:t>
      </w:r>
      <w:r w:rsidR="00B82DE5">
        <w:t xml:space="preserve">x Burners: </w:t>
      </w:r>
      <w:r w:rsidR="0052739B">
        <w:t xml:space="preserve">Goal 3 of the 2022 Research Plan </w:t>
      </w:r>
      <w:r w:rsidR="00955681">
        <w:t xml:space="preserve">included </w:t>
      </w:r>
      <w:r w:rsidR="0052739B">
        <w:t>objectives that were related to Low-NOx burners</w:t>
      </w:r>
      <w:r w:rsidR="00C56B3C">
        <w:t xml:space="preserve">. </w:t>
      </w:r>
      <w:r w:rsidR="00985E02">
        <w:t xml:space="preserve">A study </w:t>
      </w:r>
      <w:r w:rsidR="00955681">
        <w:t xml:space="preserve">completed </w:t>
      </w:r>
      <w:r w:rsidR="0052739B">
        <w:t>fo</w:t>
      </w:r>
      <w:r w:rsidR="00197D5F">
        <w:t xml:space="preserve">r </w:t>
      </w:r>
      <w:r w:rsidR="0052739B">
        <w:t>low-NOx burners in 202</w:t>
      </w:r>
      <w:r w:rsidR="00985E02">
        <w:t>3</w:t>
      </w:r>
      <w:r w:rsidR="0052739B">
        <w:t xml:space="preserve"> found that burners are applicable to multiple sectors and end uses and they should </w:t>
      </w:r>
      <w:r w:rsidR="00B06DD3">
        <w:t>have</w:t>
      </w:r>
      <w:r w:rsidR="0052739B">
        <w:t xml:space="preserve"> their own category</w:t>
      </w:r>
      <w:r w:rsidR="00C56B3C">
        <w:t xml:space="preserve">. </w:t>
      </w:r>
      <w:r w:rsidR="009C10E2">
        <w:t xml:space="preserve">These have the potential to both reduce </w:t>
      </w:r>
      <w:r w:rsidR="00B06DD3">
        <w:t xml:space="preserve">NOx </w:t>
      </w:r>
      <w:r w:rsidR="009C10E2">
        <w:t xml:space="preserve">and related emissions, but also slightly increase the </w:t>
      </w:r>
      <w:r w:rsidR="00B06DD3">
        <w:t xml:space="preserve">efficiency </w:t>
      </w:r>
      <w:r w:rsidR="00D32BFA">
        <w:t>of the device.</w:t>
      </w:r>
      <w:r w:rsidR="00B00D5C">
        <w:t xml:space="preserve">  Different variants can run with pure hydrogen and/or nearly eliminate NOx.</w:t>
      </w:r>
      <w:r w:rsidR="005A6092">
        <w:t xml:space="preserve">  Successful testing of </w:t>
      </w:r>
      <w:r w:rsidR="00842F24">
        <w:t xml:space="preserve">an Ultra Low NOx </w:t>
      </w:r>
      <w:r w:rsidR="00F23536">
        <w:t>Burner</w:t>
      </w:r>
      <w:r w:rsidR="005A6092">
        <w:t xml:space="preserve"> was completed in 2024</w:t>
      </w:r>
      <w:r w:rsidR="008145F8">
        <w:t xml:space="preserve">.  In 2025 a follow-up study was </w:t>
      </w:r>
      <w:proofErr w:type="gramStart"/>
      <w:r w:rsidR="008145F8">
        <w:t>launch</w:t>
      </w:r>
      <w:proofErr w:type="gramEnd"/>
      <w:r w:rsidR="008145F8">
        <w:t xml:space="preserve"> that will run into 2026 for a newer ULX burner </w:t>
      </w:r>
      <w:proofErr w:type="gramStart"/>
      <w:r w:rsidR="008145F8">
        <w:t>design  In</w:t>
      </w:r>
      <w:proofErr w:type="gramEnd"/>
      <w:r w:rsidR="008145F8">
        <w:t xml:space="preserve"> addition to prior natural gas testing, there will be</w:t>
      </w:r>
      <w:r w:rsidR="005A6092">
        <w:t xml:space="preserve"> follow-up work including </w:t>
      </w:r>
      <w:proofErr w:type="gramStart"/>
      <w:r w:rsidR="005A6092">
        <w:t>addressing running</w:t>
      </w:r>
      <w:proofErr w:type="gramEnd"/>
      <w:r w:rsidR="005A6092">
        <w:t xml:space="preserve"> these burners with </w:t>
      </w:r>
      <w:r w:rsidR="003343D3">
        <w:t xml:space="preserve">pure hydrogen and/or </w:t>
      </w:r>
      <w:r w:rsidR="005A6092">
        <w:t>hydrogen blends and assessing the</w:t>
      </w:r>
      <w:r w:rsidR="00157B73">
        <w:t xml:space="preserve"> viability of their </w:t>
      </w:r>
      <w:r w:rsidR="00F05200">
        <w:t>application in boiler retrofits</w:t>
      </w:r>
      <w:r w:rsidR="00157B73">
        <w:t xml:space="preserve"> for EE programs</w:t>
      </w:r>
      <w:r w:rsidR="00F05200">
        <w:t>.</w:t>
      </w:r>
    </w:p>
    <w:p w14:paraId="3861FCB8" w14:textId="4280EEFB" w:rsidR="00BC477E" w:rsidRDefault="00187458" w:rsidP="00AA34F5">
      <w:pPr>
        <w:pStyle w:val="ListParagraph"/>
        <w:numPr>
          <w:ilvl w:val="0"/>
          <w:numId w:val="17"/>
        </w:numPr>
      </w:pPr>
      <w:r>
        <w:t>Carbon Capture</w:t>
      </w:r>
      <w:r w:rsidR="0002108C">
        <w:t>:</w:t>
      </w:r>
      <w:r w:rsidR="00C56B3C">
        <w:t xml:space="preserve"> </w:t>
      </w:r>
      <w:r w:rsidR="000559A8">
        <w:t xml:space="preserve">While much of the effort for carbon capture is being looked at for </w:t>
      </w:r>
      <w:r w:rsidR="006C6425">
        <w:t xml:space="preserve">industrial-scaled projects or </w:t>
      </w:r>
      <w:r w:rsidR="000559A8">
        <w:t>industrial po</w:t>
      </w:r>
      <w:r w:rsidR="00C47BCB">
        <w:t>w</w:t>
      </w:r>
      <w:r w:rsidR="000559A8">
        <w:t>er generation</w:t>
      </w:r>
      <w:r w:rsidR="00C47BCB">
        <w:t xml:space="preserve">, which is out of scope for </w:t>
      </w:r>
      <w:r w:rsidR="0002108C">
        <w:t>GET</w:t>
      </w:r>
      <w:r w:rsidR="00B1306F">
        <w:t xml:space="preserve">, </w:t>
      </w:r>
      <w:r w:rsidR="00C47BCB">
        <w:t xml:space="preserve">there are technologies that focus on </w:t>
      </w:r>
      <w:r w:rsidR="00B1306F">
        <w:t xml:space="preserve">carbon capture for demand </w:t>
      </w:r>
      <w:r w:rsidR="00815F62">
        <w:t xml:space="preserve">side </w:t>
      </w:r>
      <w:r w:rsidR="00B1306F">
        <w:t>uses</w:t>
      </w:r>
      <w:r w:rsidR="00C56B3C">
        <w:t xml:space="preserve">. </w:t>
      </w:r>
      <w:r w:rsidR="00B1306F">
        <w:t>In some cases, these take extra energy to remove the capture</w:t>
      </w:r>
      <w:r w:rsidR="00E46B82">
        <w:t>d carbon</w:t>
      </w:r>
      <w:r w:rsidR="00B1306F">
        <w:t xml:space="preserve">, while in others, they have an </w:t>
      </w:r>
      <w:r w:rsidR="00BB3686">
        <w:t xml:space="preserve">energy efficiency </w:t>
      </w:r>
      <w:r w:rsidR="00E46B82">
        <w:t>component in addition to carbon capture.</w:t>
      </w:r>
      <w:r w:rsidR="0033531C">
        <w:t xml:space="preserve">  They can also produce useful by</w:t>
      </w:r>
      <w:r w:rsidR="00EF3F76">
        <w:t>-</w:t>
      </w:r>
      <w:r w:rsidR="0033531C">
        <w:t>products.</w:t>
      </w:r>
      <w:r w:rsidR="003343D3">
        <w:t xml:space="preserve">  These projects were delayed for various reasons, but the</w:t>
      </w:r>
      <w:r w:rsidR="00197C3D">
        <w:t xml:space="preserve">y were launched in </w:t>
      </w:r>
      <w:r w:rsidR="003343D3">
        <w:t>2025</w:t>
      </w:r>
      <w:r w:rsidR="00197C3D">
        <w:t xml:space="preserve"> and continuing into 2026</w:t>
      </w:r>
      <w:r w:rsidR="003343D3">
        <w:t>.</w:t>
      </w:r>
    </w:p>
    <w:p w14:paraId="223CD95D" w14:textId="2CE67B53" w:rsidR="00095EF5" w:rsidRDefault="00095EF5" w:rsidP="00AA34F5">
      <w:pPr>
        <w:pStyle w:val="ListParagraph"/>
        <w:numPr>
          <w:ilvl w:val="0"/>
          <w:numId w:val="17"/>
        </w:numPr>
      </w:pPr>
      <w:r>
        <w:t xml:space="preserve">Hydrogen Blending: </w:t>
      </w:r>
      <w:r w:rsidR="00B06FCC">
        <w:t xml:space="preserve">Hydrogen blending has the potential to decrease GHG emissions for gas-fired appliances without the immediate need to replace the appliances. </w:t>
      </w:r>
      <w:r w:rsidR="001E08B5">
        <w:t>This is not technology-</w:t>
      </w:r>
      <w:proofErr w:type="gramStart"/>
      <w:r w:rsidR="001E08B5">
        <w:t>specific</w:t>
      </w:r>
      <w:proofErr w:type="gramEnd"/>
      <w:r w:rsidR="001E08B5">
        <w:t xml:space="preserve"> so it has been placed in this cross-cutting section. </w:t>
      </w:r>
      <w:r w:rsidR="00E3756B">
        <w:t>One pertinent question for Hydrogen-blending is th</w:t>
      </w:r>
      <w:r w:rsidR="00037190">
        <w:t>e overall Total System Benefit (TSB) for equipment firing blends of Natural Gas and Hydrogen</w:t>
      </w:r>
      <w:r w:rsidR="00825D62">
        <w:t xml:space="preserve"> that may not be accounted for with the current TSB calculation</w:t>
      </w:r>
      <w:r w:rsidR="00037190">
        <w:t xml:space="preserve">. </w:t>
      </w:r>
      <w:r w:rsidR="00825D62">
        <w:t xml:space="preserve">  This project will likely launch in 2025 and continue into 2026.</w:t>
      </w:r>
    </w:p>
    <w:p w14:paraId="1CCE233D" w14:textId="7723AEFD" w:rsidR="00541AD4" w:rsidRDefault="00541AD4">
      <w:pPr>
        <w:rPr>
          <w:b/>
          <w:bCs/>
          <w:i/>
          <w:iCs/>
          <w:sz w:val="24"/>
          <w:szCs w:val="24"/>
        </w:rPr>
      </w:pPr>
    </w:p>
    <w:p w14:paraId="427CB10F" w14:textId="5D360585" w:rsidR="003402A6" w:rsidRPr="00AC5805" w:rsidRDefault="00BC477E" w:rsidP="00F164C9">
      <w:pPr>
        <w:pStyle w:val="Heading3"/>
      </w:pPr>
      <w:bookmarkStart w:id="22" w:name="_Toc213213559"/>
      <w:r>
        <w:t xml:space="preserve">Goal </w:t>
      </w:r>
      <w:r w:rsidR="00EE3036">
        <w:t>5.</w:t>
      </w:r>
      <w:r w:rsidR="00FA3B21">
        <w:t>1</w:t>
      </w:r>
      <w:r>
        <w:t xml:space="preserve">: </w:t>
      </w:r>
      <w:r w:rsidR="00397DC5">
        <w:t xml:space="preserve">Reduce the emissions of gas-fired </w:t>
      </w:r>
      <w:r w:rsidR="00BF20F4">
        <w:t>equipment</w:t>
      </w:r>
      <w:bookmarkEnd w:id="22"/>
    </w:p>
    <w:p w14:paraId="1CBE17CE" w14:textId="3950465E" w:rsidR="00F56DD3" w:rsidRDefault="00DA52CC" w:rsidP="00880529">
      <w:r>
        <w:t xml:space="preserve">Ultra </w:t>
      </w:r>
      <w:r w:rsidR="00AB27A2">
        <w:t xml:space="preserve">Low NOx and </w:t>
      </w:r>
      <w:r w:rsidR="00BF20F4">
        <w:t xml:space="preserve">Low NOx burners </w:t>
      </w:r>
      <w:r w:rsidR="00BF3C13">
        <w:t xml:space="preserve">are used </w:t>
      </w:r>
      <w:r w:rsidR="009D6487">
        <w:t>across the water heating, space heating, CFS and industrial sectors</w:t>
      </w:r>
      <w:r w:rsidR="0054364C">
        <w:t xml:space="preserve"> </w:t>
      </w:r>
      <w:r w:rsidR="00BF3C13">
        <w:t xml:space="preserve">to </w:t>
      </w:r>
      <w:r w:rsidR="0054364C">
        <w:t>reduce or eliminate emissions</w:t>
      </w:r>
      <w:r w:rsidR="00C56B3C">
        <w:t xml:space="preserve">. </w:t>
      </w:r>
      <w:r w:rsidR="00EE0445">
        <w:t xml:space="preserve">More information is needed to understand what role the GET program can play to </w:t>
      </w:r>
      <w:r w:rsidR="00BF3C13">
        <w:t xml:space="preserve">further </w:t>
      </w:r>
      <w:r w:rsidR="00EE0445">
        <w:t>advance these technologies.</w:t>
      </w:r>
    </w:p>
    <w:p w14:paraId="5B660F1C" w14:textId="77777777" w:rsidR="00126FEB" w:rsidRDefault="00126FEB" w:rsidP="00A94DB5"/>
    <w:p w14:paraId="1F8A6E5D" w14:textId="39465CE2" w:rsidR="00405F1C" w:rsidRDefault="00405F1C" w:rsidP="0041184C">
      <w:pPr>
        <w:pStyle w:val="Heading4"/>
      </w:pPr>
      <w:r>
        <w:t>Objectives</w:t>
      </w:r>
    </w:p>
    <w:p w14:paraId="09D5F36D" w14:textId="4870F24D" w:rsidR="0097230A" w:rsidRDefault="00E34E49" w:rsidP="00AA34F5">
      <w:pPr>
        <w:pStyle w:val="ListParagraph"/>
        <w:numPr>
          <w:ilvl w:val="0"/>
          <w:numId w:val="22"/>
        </w:numPr>
      </w:pPr>
      <w:r>
        <w:t>Scope technologies that can reduce the emissions of gas-fired HVAC equipment</w:t>
      </w:r>
      <w:r w:rsidR="0047373F">
        <w:t>.</w:t>
      </w:r>
    </w:p>
    <w:p w14:paraId="74884D5C" w14:textId="7D6F506A" w:rsidR="00E34E49" w:rsidRDefault="00E34E49" w:rsidP="00AA34F5">
      <w:pPr>
        <w:pStyle w:val="ListParagraph"/>
        <w:numPr>
          <w:ilvl w:val="0"/>
          <w:numId w:val="22"/>
        </w:numPr>
      </w:pPr>
      <w:r>
        <w:t>Determine the technology readiness level of each technology</w:t>
      </w:r>
      <w:r w:rsidR="0047373F">
        <w:t>.</w:t>
      </w:r>
    </w:p>
    <w:p w14:paraId="6D177F8E" w14:textId="4F28BD7F" w:rsidR="00E34E49" w:rsidRDefault="0067361F" w:rsidP="00AA34F5">
      <w:pPr>
        <w:pStyle w:val="ListParagraph"/>
        <w:numPr>
          <w:ilvl w:val="0"/>
          <w:numId w:val="22"/>
        </w:numPr>
      </w:pPr>
      <w:r>
        <w:t xml:space="preserve">Determine </w:t>
      </w:r>
      <w:r w:rsidR="00530245">
        <w:t xml:space="preserve">to which </w:t>
      </w:r>
      <w:r w:rsidR="00776CCB">
        <w:t>end-uses each technology may apply</w:t>
      </w:r>
      <w:r w:rsidR="0047373F">
        <w:t>.</w:t>
      </w:r>
      <w:r>
        <w:t xml:space="preserve"> </w:t>
      </w:r>
    </w:p>
    <w:p w14:paraId="1707652E" w14:textId="65560D3B" w:rsidR="00F924DC" w:rsidRDefault="00F924DC" w:rsidP="00AA34F5">
      <w:pPr>
        <w:pStyle w:val="ListParagraph"/>
        <w:numPr>
          <w:ilvl w:val="0"/>
          <w:numId w:val="22"/>
        </w:numPr>
      </w:pPr>
      <w:r>
        <w:t xml:space="preserve">Determine </w:t>
      </w:r>
      <w:r w:rsidR="00530245">
        <w:t xml:space="preserve">which </w:t>
      </w:r>
      <w:r>
        <w:t>technolog</w:t>
      </w:r>
      <w:r w:rsidR="00530245">
        <w:t>ies require further testing and analysis</w:t>
      </w:r>
      <w:r w:rsidR="0047373F">
        <w:t>.</w:t>
      </w:r>
    </w:p>
    <w:p w14:paraId="6737B952" w14:textId="4C822A4A" w:rsidR="007879DC" w:rsidRDefault="0047373F" w:rsidP="00AA34F5">
      <w:pPr>
        <w:pStyle w:val="ListParagraph"/>
        <w:numPr>
          <w:ilvl w:val="0"/>
          <w:numId w:val="22"/>
        </w:numPr>
      </w:pPr>
      <w:r>
        <w:t>Perform</w:t>
      </w:r>
      <w:r w:rsidR="007879DC">
        <w:t xml:space="preserve"> field testing to quantify </w:t>
      </w:r>
      <w:r>
        <w:t>emissions reductions and energy efficiency improvements.</w:t>
      </w:r>
    </w:p>
    <w:p w14:paraId="5FD00444" w14:textId="77777777" w:rsidR="00785FCE" w:rsidRDefault="00785FCE" w:rsidP="00BB3686"/>
    <w:p w14:paraId="10D07D4A" w14:textId="406E3FD7" w:rsidR="00F4542E" w:rsidRPr="00AC5805" w:rsidRDefault="00F4542E" w:rsidP="00F4542E">
      <w:pPr>
        <w:pStyle w:val="Heading3"/>
      </w:pPr>
      <w:bookmarkStart w:id="23" w:name="_Toc213213560"/>
      <w:r>
        <w:t xml:space="preserve">Goal </w:t>
      </w:r>
      <w:r w:rsidR="00EE3036">
        <w:t>5.</w:t>
      </w:r>
      <w:r w:rsidR="00D13B15">
        <w:t>2</w:t>
      </w:r>
      <w:r>
        <w:t>: Quantify Carbon Capture Technologies</w:t>
      </w:r>
      <w:bookmarkEnd w:id="23"/>
    </w:p>
    <w:p w14:paraId="5EEF73FF" w14:textId="334520EA" w:rsidR="00F4542E" w:rsidRDefault="00F4542E" w:rsidP="002E5F83">
      <w:pPr>
        <w:spacing w:after="240"/>
      </w:pPr>
      <w:r>
        <w:lastRenderedPageBreak/>
        <w:t>There is at least one technology that is commercially available and is intended to reduce carbon and increase energy efficiency of a boiler system</w:t>
      </w:r>
      <w:r w:rsidR="00C56B3C">
        <w:t xml:space="preserve">. </w:t>
      </w:r>
      <w:r w:rsidR="00773F48">
        <w:t xml:space="preserve">There are other technologies that may also provide </w:t>
      </w:r>
      <w:r w:rsidR="005B6918">
        <w:t xml:space="preserve">demand side </w:t>
      </w:r>
      <w:r w:rsidR="00773F48">
        <w:t xml:space="preserve">GHG reduction in this field as well.  </w:t>
      </w:r>
      <w:r>
        <w:t>There is little data on field performance in terms of efficiency gains and carbon reduction</w:t>
      </w:r>
      <w:r w:rsidR="00C56B3C">
        <w:t xml:space="preserve">. </w:t>
      </w:r>
      <w:r>
        <w:t>GET could facilitate a greater understanding of this technology.</w:t>
      </w:r>
    </w:p>
    <w:p w14:paraId="43673184" w14:textId="0934E7EE" w:rsidR="00CC5E8E" w:rsidRDefault="00CC5E8E" w:rsidP="002E5F83">
      <w:pPr>
        <w:spacing w:after="240"/>
      </w:pPr>
      <w:r w:rsidRPr="00CC5E8E">
        <w:t>In 2025, the program launch</w:t>
      </w:r>
      <w:r w:rsidR="00DB444C">
        <w:t>ed</w:t>
      </w:r>
      <w:r w:rsidRPr="00CC5E8E">
        <w:t xml:space="preserve"> field-based evaluation of </w:t>
      </w:r>
      <w:proofErr w:type="spellStart"/>
      <w:r w:rsidRPr="00CC5E8E">
        <w:t>CleanO</w:t>
      </w:r>
      <w:proofErr w:type="spellEnd"/>
      <w:r w:rsidRPr="00CC5E8E">
        <w:t xml:space="preserve">₂’s </w:t>
      </w:r>
      <w:r w:rsidR="007403F3" w:rsidRPr="00CC5E8E">
        <w:t>C</w:t>
      </w:r>
      <w:r w:rsidR="007403F3">
        <w:t>arbin</w:t>
      </w:r>
      <w:r w:rsidRPr="00CC5E8E">
        <w:t>-X system, a building-scale carbon-capture retrofit for natural-gas boilers that converts flue-gas CO₂ into a stable carbonate by-product. This project</w:t>
      </w:r>
      <w:r w:rsidR="00DB444C">
        <w:t xml:space="preserve"> will continue into 2026 and </w:t>
      </w:r>
      <w:r w:rsidRPr="00CC5E8E">
        <w:t>perform in-situ M&amp;V to quantify energy-efficiency gains, CO₂ capture performance, and operational feasibility at a California demonstration site. The study will also assess market readiness, by-product reuse potential, and pathways for integrating demand-side carbon-capture systems into future energy-efficiency programs.</w:t>
      </w:r>
    </w:p>
    <w:p w14:paraId="318F4280" w14:textId="3CE20B83" w:rsidR="00F4542E" w:rsidRPr="00126FEB" w:rsidRDefault="00F4542E" w:rsidP="002E5F83">
      <w:pPr>
        <w:pStyle w:val="Heading4"/>
      </w:pPr>
      <w:r>
        <w:t>Objectives</w:t>
      </w:r>
    </w:p>
    <w:p w14:paraId="5FF6F407" w14:textId="02C3264D" w:rsidR="00F4542E" w:rsidRDefault="00F4542E" w:rsidP="00AA34F5">
      <w:pPr>
        <w:pStyle w:val="ListParagraph"/>
        <w:numPr>
          <w:ilvl w:val="0"/>
          <w:numId w:val="14"/>
        </w:numPr>
      </w:pPr>
      <w:r>
        <w:t>Scan and review the full list of applicable technologies in this space</w:t>
      </w:r>
      <w:r w:rsidR="006C6425">
        <w:t>.</w:t>
      </w:r>
    </w:p>
    <w:p w14:paraId="1FFC8DFB" w14:textId="567C0109" w:rsidR="00F4542E" w:rsidRDefault="00F4542E" w:rsidP="00AA34F5">
      <w:pPr>
        <w:pStyle w:val="ListParagraph"/>
        <w:numPr>
          <w:ilvl w:val="0"/>
          <w:numId w:val="14"/>
        </w:numPr>
      </w:pPr>
      <w:r>
        <w:t>Determine technology readiness level of each technology</w:t>
      </w:r>
      <w:r w:rsidR="006C6425">
        <w:t>.</w:t>
      </w:r>
    </w:p>
    <w:p w14:paraId="36DF9D11" w14:textId="47BB3C7C" w:rsidR="00F4542E" w:rsidRDefault="00F4542E" w:rsidP="00AA34F5">
      <w:pPr>
        <w:pStyle w:val="ListParagraph"/>
        <w:numPr>
          <w:ilvl w:val="0"/>
          <w:numId w:val="14"/>
        </w:numPr>
      </w:pPr>
      <w:r>
        <w:t>Quantify potential for EE savings</w:t>
      </w:r>
      <w:r w:rsidR="006C6425">
        <w:t>.</w:t>
      </w:r>
    </w:p>
    <w:p w14:paraId="3B996892" w14:textId="3BC7DFFC" w:rsidR="00F4542E" w:rsidRDefault="00F4542E" w:rsidP="00AA34F5">
      <w:pPr>
        <w:pStyle w:val="ListParagraph"/>
        <w:numPr>
          <w:ilvl w:val="0"/>
          <w:numId w:val="14"/>
        </w:numPr>
      </w:pPr>
      <w:r>
        <w:t>Quantify potential for carbon reduction</w:t>
      </w:r>
      <w:r w:rsidR="00BF6FF6">
        <w:t xml:space="preserve"> and product barriers</w:t>
      </w:r>
      <w:r w:rsidR="006C6425">
        <w:t>.</w:t>
      </w:r>
    </w:p>
    <w:p w14:paraId="074D8940" w14:textId="51057A92" w:rsidR="00F4542E" w:rsidRDefault="00F4542E" w:rsidP="00AA34F5">
      <w:pPr>
        <w:pStyle w:val="ListParagraph"/>
        <w:numPr>
          <w:ilvl w:val="0"/>
          <w:numId w:val="14"/>
        </w:numPr>
      </w:pPr>
      <w:r>
        <w:t>Understand the dynamics of the supply chain for these approaches</w:t>
      </w:r>
      <w:r w:rsidR="006C6425">
        <w:t>.</w:t>
      </w:r>
    </w:p>
    <w:p w14:paraId="6C74520E" w14:textId="69F7C37C" w:rsidR="00E30B3C" w:rsidRDefault="00E30B3C" w:rsidP="00AA34F5">
      <w:pPr>
        <w:pStyle w:val="ListParagraph"/>
        <w:numPr>
          <w:ilvl w:val="0"/>
          <w:numId w:val="14"/>
        </w:numPr>
      </w:pPr>
      <w:r>
        <w:t xml:space="preserve">Perform field testing to </w:t>
      </w:r>
      <w:r w:rsidR="004D6D4C">
        <w:t>quantify in</w:t>
      </w:r>
      <w:r w:rsidR="007417AB">
        <w:t>-</w:t>
      </w:r>
      <w:r w:rsidR="004D6D4C">
        <w:t>field performance.</w:t>
      </w:r>
    </w:p>
    <w:p w14:paraId="5B7BD0C3" w14:textId="77777777" w:rsidR="00D31C14" w:rsidRDefault="00D31C14" w:rsidP="00773F48"/>
    <w:p w14:paraId="18D4B1F2" w14:textId="77777777" w:rsidR="0098133E" w:rsidRDefault="0098133E" w:rsidP="002E5F83"/>
    <w:p w14:paraId="19E68DA0" w14:textId="77777777" w:rsidR="000D30B1" w:rsidRDefault="00D31C14" w:rsidP="00D31C14">
      <w:pPr>
        <w:pStyle w:val="Heading3"/>
      </w:pPr>
      <w:bookmarkStart w:id="24" w:name="_Toc213213561"/>
      <w:r>
        <w:t xml:space="preserve">Goal </w:t>
      </w:r>
      <w:r w:rsidR="00E3756B">
        <w:t>5.3: Quantify TSB impacts for Hydrogen Blending</w:t>
      </w:r>
      <w:bookmarkEnd w:id="24"/>
    </w:p>
    <w:p w14:paraId="44D03502" w14:textId="77777777" w:rsidR="00E3756B" w:rsidRDefault="00E3756B" w:rsidP="00E73FB2"/>
    <w:p w14:paraId="16085F7B" w14:textId="459C4606" w:rsidR="00E3756B" w:rsidRDefault="00871BD8" w:rsidP="00E3756B">
      <w:r>
        <w:t xml:space="preserve">Existing appliances can </w:t>
      </w:r>
      <w:r w:rsidR="003333F3">
        <w:t>utilize</w:t>
      </w:r>
      <w:r>
        <w:t xml:space="preserve"> blends of Natural Gas and Hydrogen </w:t>
      </w:r>
      <w:r w:rsidR="003333F3">
        <w:t xml:space="preserve">up to about 30% </w:t>
      </w:r>
      <w:r>
        <w:t xml:space="preserve">without needing any modifications. </w:t>
      </w:r>
      <w:r w:rsidR="005F7E42">
        <w:t xml:space="preserve">This reduces their emissions without adding an extra cost to replace the appliance.  However, there is a cost to </w:t>
      </w:r>
      <w:r w:rsidR="003333F3">
        <w:t xml:space="preserve">create and </w:t>
      </w:r>
      <w:r w:rsidR="005F7E42">
        <w:t>blend the Hydrogen into the Natural Gas pipeline</w:t>
      </w:r>
      <w:r w:rsidR="00322737">
        <w:t xml:space="preserve">.    This goal was added to </w:t>
      </w:r>
      <w:r w:rsidR="00D4388E">
        <w:t xml:space="preserve">start quantifying the </w:t>
      </w:r>
      <w:r w:rsidR="00993AE6">
        <w:t xml:space="preserve">TSB </w:t>
      </w:r>
      <w:r w:rsidR="00D4388E">
        <w:t>impacts of burning Hydrogen -</w:t>
      </w:r>
      <w:r w:rsidR="00E35F7F">
        <w:t xml:space="preserve"> </w:t>
      </w:r>
      <w:r w:rsidR="00D4388E">
        <w:t>blended Natural Gas in</w:t>
      </w:r>
      <w:r w:rsidR="003352FE">
        <w:t xml:space="preserve"> </w:t>
      </w:r>
      <w:r w:rsidR="00993AE6">
        <w:t>consumer</w:t>
      </w:r>
      <w:r w:rsidR="007F4EFC">
        <w:t xml:space="preserve"> </w:t>
      </w:r>
      <w:r w:rsidR="00D4388E">
        <w:t xml:space="preserve">appliances. </w:t>
      </w:r>
    </w:p>
    <w:p w14:paraId="25D3E189" w14:textId="77777777" w:rsidR="00D4388E" w:rsidRDefault="00D4388E" w:rsidP="00E3756B"/>
    <w:p w14:paraId="1E3A68D4" w14:textId="004B71BF" w:rsidR="001B0C3C" w:rsidRPr="001B0C3C" w:rsidRDefault="001B0C3C" w:rsidP="00E3756B">
      <w:r w:rsidRPr="000D1AE2">
        <w:t>In 2026, the program will expand this goal through a detailed Total System Benefit (TSB) analysis of hydrogen blending scenarios across residential, commercial, and industrial end uses.</w:t>
      </w:r>
      <w:r w:rsidRPr="001B0C3C">
        <w:t xml:space="preserve"> This work will build on 2025 cost and emissions estimates by developing an integrated framework that quantifies avoided greenhouse-gas emissions, changes in appliance efficiency, distribution-system costs, and overall portfolio cost-effectiveness for hydrogen blends up to 30 percent by volume. The study—referred to as the </w:t>
      </w:r>
      <w:r w:rsidRPr="001B0C3C">
        <w:rPr>
          <w:i/>
          <w:iCs/>
        </w:rPr>
        <w:t>TSB for Hydrogen Project</w:t>
      </w:r>
      <w:r w:rsidRPr="001B0C3C">
        <w:t>—will evaluate sensitivity to blend ratios, pipeline delivery assumptions, and fuel-supply pathways, producing California-specific TSB values to inform future program and policy design. Results will help determine where hydrogen blending provides net societal benefit and where alternative decarbonization pathways may be more cost-effective.</w:t>
      </w:r>
    </w:p>
    <w:p w14:paraId="4C9DCA59" w14:textId="77777777" w:rsidR="001B0C3C" w:rsidRDefault="001B0C3C" w:rsidP="00E3756B"/>
    <w:p w14:paraId="0B91D579" w14:textId="77777777" w:rsidR="00D4388E" w:rsidRPr="00126FEB" w:rsidRDefault="00D4388E" w:rsidP="00D4388E">
      <w:pPr>
        <w:pStyle w:val="Heading4"/>
      </w:pPr>
      <w:r>
        <w:t>Objectives</w:t>
      </w:r>
    </w:p>
    <w:p w14:paraId="67AF678B" w14:textId="77777777" w:rsidR="00D4388E" w:rsidRDefault="00D4388E" w:rsidP="00E3756B"/>
    <w:p w14:paraId="6108C64F" w14:textId="77777777" w:rsidR="00D4388E" w:rsidRDefault="008C3337" w:rsidP="00D4388E">
      <w:pPr>
        <w:pStyle w:val="ListParagraph"/>
        <w:numPr>
          <w:ilvl w:val="0"/>
          <w:numId w:val="28"/>
        </w:numPr>
      </w:pPr>
      <w:r>
        <w:t>Estimate costs to blend Hydrogen into the SoCalGas, SDG&amp;E, and PG&amp;E pipeline</w:t>
      </w:r>
    </w:p>
    <w:p w14:paraId="4B672E05" w14:textId="77777777" w:rsidR="00FD1F51" w:rsidRDefault="008C3337" w:rsidP="00841AEE">
      <w:pPr>
        <w:pStyle w:val="ListParagraph"/>
        <w:numPr>
          <w:ilvl w:val="0"/>
          <w:numId w:val="28"/>
        </w:numPr>
      </w:pPr>
      <w:r>
        <w:t>Estimate emissions to burn Hydrogen-blended Natural Gas in existing appliances</w:t>
      </w:r>
    </w:p>
    <w:p w14:paraId="0C6B0F63" w14:textId="4D262506" w:rsidR="006A468D" w:rsidRDefault="002B2174" w:rsidP="00841AEE">
      <w:pPr>
        <w:pStyle w:val="ListParagraph"/>
        <w:numPr>
          <w:ilvl w:val="0"/>
          <w:numId w:val="28"/>
        </w:numPr>
      </w:pPr>
      <w:r>
        <w:t>Quantify TSB impacts from burning Hydrogen-blended Natural gas in existing appliances</w:t>
      </w:r>
    </w:p>
    <w:p w14:paraId="50E101C7" w14:textId="77777777" w:rsidR="006D3FD9" w:rsidRPr="006D3FD9" w:rsidRDefault="006D3FD9" w:rsidP="006D3FD9">
      <w:pPr>
        <w:pStyle w:val="ListParagraph"/>
        <w:numPr>
          <w:ilvl w:val="0"/>
          <w:numId w:val="28"/>
        </w:numPr>
      </w:pPr>
      <w:r w:rsidRPr="006D3FD9">
        <w:lastRenderedPageBreak/>
        <w:t xml:space="preserve">Conduct a TSB and Technical/Economic Analysis (TEA) for the </w:t>
      </w:r>
      <w:proofErr w:type="spellStart"/>
      <w:r w:rsidRPr="006D3FD9">
        <w:t>ClearSign</w:t>
      </w:r>
      <w:proofErr w:type="spellEnd"/>
      <w:r w:rsidRPr="006D3FD9">
        <w:t xml:space="preserve"> Burner – This sub-study will apply the TSB framework to an advanced low-NOx industrial burner to quantify lifecycle cost, performance, and emissions benefits relative to conventional combustion systems. The TEA will complement TSB findings by evaluating capital cost, maintenance, and efficiency trade-offs to inform future measure development and deployment potential.</w:t>
      </w:r>
    </w:p>
    <w:p w14:paraId="12B064AF" w14:textId="77777777" w:rsidR="007C15BF" w:rsidRDefault="007C15BF" w:rsidP="007C15BF">
      <w:pPr>
        <w:pStyle w:val="ListParagraph"/>
        <w:ind w:left="720"/>
      </w:pPr>
    </w:p>
    <w:p w14:paraId="1404DB11" w14:textId="28424DD3" w:rsidR="007C15BF" w:rsidRPr="000D1AE2" w:rsidRDefault="007C15BF" w:rsidP="00D20437">
      <w:pPr>
        <w:pStyle w:val="Heading3"/>
      </w:pPr>
      <w:bookmarkStart w:id="25" w:name="_Toc213213562"/>
      <w:r w:rsidRPr="000D1AE2">
        <w:t>Goal 5.4: Benchmark Energy Efficiency Incentives Against Carbon-Based Valuation</w:t>
      </w:r>
      <w:bookmarkEnd w:id="25"/>
    </w:p>
    <w:p w14:paraId="773A8D27" w14:textId="77777777" w:rsidR="007C15BF" w:rsidRDefault="007C15BF" w:rsidP="007C15BF"/>
    <w:p w14:paraId="67E7330D" w14:textId="3FB0A86F" w:rsidR="007C15BF" w:rsidRDefault="007C15BF" w:rsidP="000D1AE2">
      <w:r>
        <w:t>In 2026, the GET Program will launch an analytical study to benchmark the effectiveness of utility energy-efficiency (EE) incentives against carbon-based incentives that value avoided greenhouse-gas (GHG) emissions. The objective is to develop a conceptual comparison between the economic value of avoided carbon (e.g., $50 per metric ton CO₂) and existing utility rebate structures across multiple end-use technologies.</w:t>
      </w:r>
    </w:p>
    <w:p w14:paraId="75D2D7A5" w14:textId="40A5D786" w:rsidR="007C15BF" w:rsidRDefault="007C15BF" w:rsidP="000D1AE2">
      <w:pPr>
        <w:pStyle w:val="ListParagraph"/>
        <w:ind w:left="0" w:firstLine="0"/>
      </w:pPr>
      <w:r>
        <w:t>This analysis</w:t>
      </w:r>
      <w:r w:rsidR="00012048">
        <w:t xml:space="preserve">, </w:t>
      </w:r>
      <w:r>
        <w:t>referred to as the EE-to-Carbon Benchmarking Study</w:t>
      </w:r>
      <w:r w:rsidR="00012048">
        <w:t xml:space="preserve">, </w:t>
      </w:r>
      <w:r>
        <w:t>will evaluate how each incentive type influences technology adoption and cost-effectiveness under California market conditions. The study will explore potential alignment between EE and carbon-valuation frameworks, identify where one approach provides greater market leverage, and develop insights to guide future program and policy design.</w:t>
      </w:r>
    </w:p>
    <w:p w14:paraId="216D0F05" w14:textId="098CBD4F" w:rsidR="007C15BF" w:rsidRPr="000D1AE2" w:rsidRDefault="007C15BF" w:rsidP="000D1AE2">
      <w:pPr>
        <w:pStyle w:val="ListParagraph"/>
        <w:ind w:left="446"/>
        <w:rPr>
          <w:rFonts w:asciiTheme="majorHAnsi" w:hAnsiTheme="majorHAnsi"/>
          <w:i/>
          <w:iCs/>
        </w:rPr>
      </w:pPr>
      <w:r w:rsidRPr="000D1AE2">
        <w:rPr>
          <w:rFonts w:asciiTheme="majorHAnsi" w:hAnsiTheme="majorHAnsi"/>
          <w:i/>
          <w:iCs/>
        </w:rPr>
        <w:t>Objectives</w:t>
      </w:r>
    </w:p>
    <w:p w14:paraId="66A304A9" w14:textId="77777777" w:rsidR="007C15BF" w:rsidRDefault="007C15BF" w:rsidP="000D1AE2">
      <w:pPr>
        <w:pStyle w:val="ListParagraph"/>
        <w:numPr>
          <w:ilvl w:val="0"/>
          <w:numId w:val="32"/>
        </w:numPr>
      </w:pPr>
      <w:r>
        <w:t>Define representative carbon-price benchmarks and quantify the equivalent incentive value per therm or kWh of energy saved.</w:t>
      </w:r>
    </w:p>
    <w:p w14:paraId="10157B24" w14:textId="77777777" w:rsidR="007C15BF" w:rsidRDefault="007C15BF" w:rsidP="000D1AE2">
      <w:pPr>
        <w:pStyle w:val="ListParagraph"/>
        <w:numPr>
          <w:ilvl w:val="0"/>
          <w:numId w:val="32"/>
        </w:numPr>
      </w:pPr>
      <w:r>
        <w:t>Compare EE and carbon-based incentive effectiveness across select measure packages.</w:t>
      </w:r>
    </w:p>
    <w:p w14:paraId="655B3CF1" w14:textId="77777777" w:rsidR="007C15BF" w:rsidRDefault="007C15BF" w:rsidP="000D1AE2">
      <w:pPr>
        <w:pStyle w:val="ListParagraph"/>
        <w:numPr>
          <w:ilvl w:val="0"/>
          <w:numId w:val="32"/>
        </w:numPr>
      </w:pPr>
      <w:r>
        <w:t>Assess how differing incentive structures affect market adoption potential.</w:t>
      </w:r>
    </w:p>
    <w:p w14:paraId="76664F03" w14:textId="77777777" w:rsidR="007C15BF" w:rsidRDefault="007C15BF" w:rsidP="000D1AE2">
      <w:pPr>
        <w:pStyle w:val="ListParagraph"/>
        <w:numPr>
          <w:ilvl w:val="0"/>
          <w:numId w:val="32"/>
        </w:numPr>
      </w:pPr>
      <w:r>
        <w:t>Develop a framework for integrating carbon valuation into future TSB and program-cost-effectiveness analyses.</w:t>
      </w:r>
    </w:p>
    <w:p w14:paraId="3D2D4FD1" w14:textId="5C216F19" w:rsidR="007C15BF" w:rsidRPr="00FD1F51" w:rsidRDefault="007C15BF" w:rsidP="000D1AE2">
      <w:pPr>
        <w:pStyle w:val="ListParagraph"/>
        <w:numPr>
          <w:ilvl w:val="0"/>
          <w:numId w:val="32"/>
        </w:numPr>
      </w:pPr>
      <w:r>
        <w:t>Provide recommendations on harmonizing utility and carbon-credit incentives for optimal decarbonization impact.</w:t>
      </w:r>
    </w:p>
    <w:sectPr w:rsidR="007C15BF" w:rsidRPr="00FD1F51" w:rsidSect="000C1AE0">
      <w:pgSz w:w="12240" w:h="15840"/>
      <w:pgMar w:top="1440" w:right="1440" w:bottom="1440" w:left="1440" w:header="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B83D" w14:textId="77777777" w:rsidR="000E5DFD" w:rsidRDefault="000E5DFD">
      <w:r>
        <w:separator/>
      </w:r>
    </w:p>
  </w:endnote>
  <w:endnote w:type="continuationSeparator" w:id="0">
    <w:p w14:paraId="7556F74D" w14:textId="77777777" w:rsidR="000E5DFD" w:rsidRDefault="000E5DFD">
      <w:r>
        <w:continuationSeparator/>
      </w:r>
    </w:p>
  </w:endnote>
  <w:endnote w:type="continuationNotice" w:id="1">
    <w:p w14:paraId="323FCD95" w14:textId="77777777" w:rsidR="000E5DFD" w:rsidRDefault="000E5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0070C0"/>
        <w:sz w:val="20"/>
        <w:szCs w:val="20"/>
      </w:rPr>
      <w:id w:val="-84695802"/>
      <w:docPartObj>
        <w:docPartGallery w:val="Page Numbers (Bottom of Page)"/>
        <w:docPartUnique/>
      </w:docPartObj>
    </w:sdtPr>
    <w:sdtEndPr>
      <w:rPr>
        <w:rStyle w:val="PageNumber"/>
        <w:color w:val="002060"/>
      </w:rPr>
    </w:sdtEndPr>
    <w:sdtContent>
      <w:p w14:paraId="63486AF5" w14:textId="7286DAE9" w:rsidR="00C873B8" w:rsidRPr="00C873B8" w:rsidRDefault="00C873B8">
        <w:pPr>
          <w:pStyle w:val="Footer"/>
          <w:framePr w:wrap="none" w:vAnchor="text" w:hAnchor="margin" w:xAlign="center" w:y="1"/>
          <w:rPr>
            <w:rStyle w:val="PageNumber"/>
            <w:rFonts w:ascii="Arial" w:hAnsi="Arial" w:cs="Arial"/>
            <w:color w:val="002060"/>
            <w:sz w:val="20"/>
            <w:szCs w:val="20"/>
          </w:rPr>
        </w:pPr>
        <w:r w:rsidRPr="00C873B8">
          <w:rPr>
            <w:rStyle w:val="PageNumber"/>
            <w:rFonts w:ascii="Arial" w:hAnsi="Arial" w:cs="Arial"/>
            <w:color w:val="002060"/>
            <w:sz w:val="20"/>
            <w:szCs w:val="20"/>
          </w:rPr>
          <w:fldChar w:fldCharType="begin"/>
        </w:r>
        <w:r w:rsidRPr="00C873B8">
          <w:rPr>
            <w:rStyle w:val="PageNumber"/>
            <w:rFonts w:ascii="Arial" w:hAnsi="Arial" w:cs="Arial"/>
            <w:color w:val="002060"/>
            <w:sz w:val="20"/>
            <w:szCs w:val="20"/>
          </w:rPr>
          <w:instrText xml:space="preserve"> PAGE </w:instrText>
        </w:r>
        <w:r w:rsidRPr="00C873B8">
          <w:rPr>
            <w:rStyle w:val="PageNumber"/>
            <w:rFonts w:ascii="Arial" w:hAnsi="Arial" w:cs="Arial"/>
            <w:color w:val="002060"/>
            <w:sz w:val="20"/>
            <w:szCs w:val="20"/>
          </w:rPr>
          <w:fldChar w:fldCharType="separate"/>
        </w:r>
        <w:r w:rsidRPr="00C873B8">
          <w:rPr>
            <w:rStyle w:val="PageNumber"/>
            <w:rFonts w:ascii="Arial" w:hAnsi="Arial" w:cs="Arial"/>
            <w:noProof/>
            <w:color w:val="002060"/>
            <w:sz w:val="20"/>
            <w:szCs w:val="20"/>
          </w:rPr>
          <w:t>1</w:t>
        </w:r>
        <w:r w:rsidRPr="00C873B8">
          <w:rPr>
            <w:rStyle w:val="PageNumber"/>
            <w:rFonts w:ascii="Arial" w:hAnsi="Arial" w:cs="Arial"/>
            <w:color w:val="002060"/>
            <w:sz w:val="20"/>
            <w:szCs w:val="20"/>
          </w:rPr>
          <w:fldChar w:fldCharType="end"/>
        </w:r>
      </w:p>
    </w:sdtContent>
  </w:sdt>
  <w:p w14:paraId="1F1FC910" w14:textId="7A3BB814" w:rsidR="00C873B8" w:rsidRPr="00C873B8" w:rsidRDefault="000F21B0" w:rsidP="00C873B8">
    <w:pPr>
      <w:pStyle w:val="Footer"/>
      <w:pBdr>
        <w:top w:val="single" w:sz="4" w:space="1" w:color="auto"/>
      </w:pBdr>
      <w:rPr>
        <w:rFonts w:ascii="Arial" w:hAnsi="Arial" w:cs="Arial"/>
        <w:color w:val="002060"/>
        <w:sz w:val="20"/>
        <w:szCs w:val="20"/>
      </w:rPr>
    </w:pPr>
    <w:r w:rsidRPr="00AE0CFA">
      <w:rPr>
        <w:rFonts w:asciiTheme="minorHAnsi" w:hAnsiTheme="minorHAnsi" w:cstheme="minorHAnsi"/>
        <w:color w:val="002060"/>
        <w:sz w:val="20"/>
        <w:szCs w:val="20"/>
      </w:rPr>
      <w:t>SW Gas E</w:t>
    </w:r>
    <w:r w:rsidR="00977090" w:rsidRPr="00AE0CFA">
      <w:rPr>
        <w:rFonts w:asciiTheme="minorHAnsi" w:hAnsiTheme="minorHAnsi" w:cstheme="minorHAnsi"/>
        <w:color w:val="002060"/>
        <w:sz w:val="20"/>
        <w:szCs w:val="20"/>
      </w:rPr>
      <w:t xml:space="preserve">merging </w:t>
    </w:r>
    <w:r w:rsidRPr="00AE0CFA">
      <w:rPr>
        <w:rFonts w:asciiTheme="minorHAnsi" w:hAnsiTheme="minorHAnsi" w:cstheme="minorHAnsi"/>
        <w:color w:val="002060"/>
        <w:sz w:val="20"/>
        <w:szCs w:val="20"/>
      </w:rPr>
      <w:t>T</w:t>
    </w:r>
    <w:r w:rsidR="00977090" w:rsidRPr="00AE0CFA">
      <w:rPr>
        <w:rFonts w:asciiTheme="minorHAnsi" w:hAnsiTheme="minorHAnsi" w:cstheme="minorHAnsi"/>
        <w:color w:val="002060"/>
        <w:sz w:val="20"/>
        <w:szCs w:val="20"/>
      </w:rPr>
      <w:t>echnologies</w:t>
    </w:r>
    <w:r w:rsidRPr="00AE0CFA">
      <w:rPr>
        <w:rFonts w:asciiTheme="minorHAnsi" w:hAnsiTheme="minorHAnsi" w:cstheme="minorHAnsi"/>
        <w:color w:val="002060"/>
        <w:sz w:val="20"/>
        <w:szCs w:val="20"/>
      </w:rPr>
      <w:t xml:space="preserve"> Program</w:t>
    </w:r>
    <w:r w:rsidR="00C873B8" w:rsidRPr="00AE0CFA">
      <w:rPr>
        <w:rFonts w:asciiTheme="minorHAnsi" w:hAnsiTheme="minorHAnsi" w:cstheme="minorHAnsi"/>
        <w:color w:val="002060"/>
        <w:sz w:val="20"/>
        <w:szCs w:val="20"/>
      </w:rPr>
      <w:tab/>
    </w:r>
    <w:r w:rsidR="00C873B8" w:rsidRPr="00AE0CFA">
      <w:rPr>
        <w:rFonts w:asciiTheme="minorHAnsi" w:hAnsiTheme="minorHAnsi" w:cstheme="minorHAnsi"/>
        <w:color w:val="002060"/>
        <w:sz w:val="20"/>
        <w:szCs w:val="20"/>
      </w:rPr>
      <w:tab/>
    </w:r>
    <w:r w:rsidR="0034495F">
      <w:rPr>
        <w:rFonts w:asciiTheme="minorHAnsi" w:hAnsiTheme="minorHAnsi" w:cstheme="minorHAnsi"/>
        <w:color w:val="002060"/>
        <w:sz w:val="20"/>
        <w:szCs w:val="20"/>
      </w:rPr>
      <w:t>202</w:t>
    </w:r>
    <w:r w:rsidR="00DB444C">
      <w:rPr>
        <w:rFonts w:asciiTheme="minorHAnsi" w:hAnsiTheme="minorHAnsi" w:cstheme="minorHAnsi"/>
        <w:color w:val="002060"/>
        <w:sz w:val="20"/>
        <w:szCs w:val="20"/>
      </w:rPr>
      <w:t>6</w:t>
    </w:r>
    <w:r w:rsidR="0034495F">
      <w:rPr>
        <w:rFonts w:asciiTheme="minorHAnsi" w:hAnsiTheme="minorHAnsi" w:cstheme="minorHAnsi"/>
        <w:color w:val="002060"/>
        <w:sz w:val="20"/>
        <w:szCs w:val="20"/>
      </w:rPr>
      <w:t xml:space="preserve"> </w:t>
    </w:r>
    <w:r w:rsidRPr="00AE0CFA">
      <w:rPr>
        <w:rFonts w:asciiTheme="minorHAnsi" w:hAnsiTheme="minorHAnsi" w:cstheme="minorHAnsi"/>
        <w:color w:val="002060"/>
        <w:sz w:val="20"/>
        <w:szCs w:val="20"/>
      </w:rPr>
      <w:t>Research Plan</w:t>
    </w:r>
    <w:r w:rsidR="000460FA">
      <w:rPr>
        <w:rFonts w:asciiTheme="minorHAnsi" w:hAnsiTheme="minorHAnsi" w:cstheme="minorHAnsi"/>
        <w:color w:val="002060"/>
        <w:sz w:val="20"/>
        <w:szCs w:val="20"/>
      </w:rPr>
      <w:t xml:space="preserve"> V</w:t>
    </w:r>
    <w:r w:rsidR="006B0821">
      <w:rPr>
        <w:rFonts w:asciiTheme="minorHAnsi" w:hAnsiTheme="minorHAnsi" w:cstheme="minorHAnsi"/>
        <w:color w:val="002060"/>
        <w:sz w:val="20"/>
        <w:szCs w:val="20"/>
      </w:rPr>
      <w:t xml:space="preserve"> </w:t>
    </w:r>
    <w:r w:rsidR="00986B94">
      <w:rPr>
        <w:rFonts w:asciiTheme="minorHAnsi" w:hAnsiTheme="minorHAnsi" w:cstheme="minorHAnsi"/>
        <w:color w:val="002060"/>
        <w:sz w:val="20"/>
        <w:szCs w:val="20"/>
      </w:rPr>
      <w:t>1</w:t>
    </w:r>
    <w:r w:rsidR="005A6E07">
      <w:rPr>
        <w:rFonts w:asciiTheme="minorHAnsi" w:hAnsiTheme="minorHAnsi" w:cstheme="minorHAnsi"/>
        <w:color w:val="002060"/>
        <w:sz w:val="20"/>
        <w:szCs w:val="20"/>
      </w:rPr>
      <w:t>.</w:t>
    </w:r>
    <w:r w:rsidR="006A3C4E">
      <w:rPr>
        <w:rFonts w:asciiTheme="minorHAnsi" w:hAnsiTheme="minorHAnsi" w:cstheme="minorHAnsi"/>
        <w:color w:val="002060"/>
        <w:sz w:val="20"/>
        <w:szCs w:val="20"/>
      </w:rPr>
      <w:t>2</w:t>
    </w:r>
    <w:r w:rsidR="00C873B8" w:rsidRPr="00C873B8">
      <w:rPr>
        <w:rFonts w:ascii="Arial" w:hAnsi="Arial" w:cs="Arial"/>
        <w:color w:val="002060"/>
        <w:sz w:val="20"/>
        <w:szCs w:val="20"/>
      </w:rPr>
      <w:fldChar w:fldCharType="begin"/>
    </w:r>
    <w:r w:rsidR="00C873B8" w:rsidRPr="00C873B8">
      <w:rPr>
        <w:rFonts w:ascii="Arial" w:hAnsi="Arial" w:cs="Arial"/>
        <w:color w:val="002060"/>
        <w:sz w:val="20"/>
        <w:szCs w:val="20"/>
      </w:rPr>
      <w:instrText xml:space="preserve"> TITLE   \* MERGEFORMAT </w:instrText>
    </w:r>
    <w:r w:rsidR="00C873B8" w:rsidRPr="00C873B8">
      <w:rPr>
        <w:rFonts w:ascii="Arial" w:hAnsi="Arial" w:cs="Arial"/>
        <w:color w:val="002060"/>
        <w:sz w:val="20"/>
        <w:szCs w:val="20"/>
      </w:rPr>
      <w:fldChar w:fldCharType="end"/>
    </w:r>
    <w:r w:rsidR="00C873B8" w:rsidRPr="00C873B8">
      <w:rPr>
        <w:rFonts w:ascii="Arial" w:hAnsi="Arial" w:cs="Arial"/>
        <w:color w:val="002060"/>
        <w:sz w:val="20"/>
        <w:szCs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8207" w14:textId="77777777" w:rsidR="000E5DFD" w:rsidRDefault="000E5DFD">
      <w:r>
        <w:separator/>
      </w:r>
    </w:p>
  </w:footnote>
  <w:footnote w:type="continuationSeparator" w:id="0">
    <w:p w14:paraId="2D2CAE65" w14:textId="77777777" w:rsidR="000E5DFD" w:rsidRDefault="000E5DFD">
      <w:r>
        <w:continuationSeparator/>
      </w:r>
    </w:p>
  </w:footnote>
  <w:footnote w:type="continuationNotice" w:id="1">
    <w:p w14:paraId="615B474B" w14:textId="77777777" w:rsidR="000E5DFD" w:rsidRDefault="000E5DFD"/>
  </w:footnote>
  <w:footnote w:id="2">
    <w:p w14:paraId="33056CC4" w14:textId="7DE3EF6A" w:rsidR="00C90A64" w:rsidRDefault="00C90A64">
      <w:pPr>
        <w:pStyle w:val="FootnoteText"/>
      </w:pPr>
      <w:r>
        <w:rPr>
          <w:rStyle w:val="FootnoteReference"/>
        </w:rPr>
        <w:footnoteRef/>
      </w:r>
      <w:r>
        <w:t xml:space="preserve"> </w:t>
      </w:r>
      <w:hyperlink r:id="rId1" w:history="1">
        <w:r w:rsidRPr="007D13DD">
          <w:rPr>
            <w:rStyle w:val="Hyperlink"/>
          </w:rPr>
          <w:t>https://efiling.energy.ca.gov/GetDocument.aspx?tn=231261&amp;DocumentContentId=62916</w:t>
        </w:r>
      </w:hyperlink>
      <w:r>
        <w:t xml:space="preserve"> </w:t>
      </w:r>
    </w:p>
  </w:footnote>
  <w:footnote w:id="3">
    <w:p w14:paraId="64E3193E" w14:textId="3B301B54" w:rsidR="00093808" w:rsidRDefault="00093808">
      <w:pPr>
        <w:pStyle w:val="FootnoteText"/>
      </w:pPr>
      <w:r>
        <w:rPr>
          <w:rStyle w:val="FootnoteReference"/>
        </w:rPr>
        <w:footnoteRef/>
      </w:r>
      <w:r>
        <w:t xml:space="preserve"> An “exempt” gas measure is one that does </w:t>
      </w:r>
      <w:r w:rsidRPr="0020675B">
        <w:rPr>
          <w:u w:val="single"/>
        </w:rPr>
        <w:t>not</w:t>
      </w:r>
      <w:r>
        <w:t xml:space="preserve"> burn natural gas but still has natural gas savings.  For example, insulation. </w:t>
      </w:r>
    </w:p>
  </w:footnote>
  <w:footnote w:id="4">
    <w:p w14:paraId="28616C86" w14:textId="77777777" w:rsidR="00093808" w:rsidRDefault="00093808" w:rsidP="00685148">
      <w:pPr>
        <w:pStyle w:val="FootnoteText"/>
      </w:pPr>
      <w:r>
        <w:rPr>
          <w:rStyle w:val="FootnoteReference"/>
        </w:rPr>
        <w:footnoteRef/>
      </w:r>
      <w:r>
        <w:t xml:space="preserve"> </w:t>
      </w:r>
      <w:r w:rsidRPr="004542A3">
        <w:t>https://ww2.arb.ca.gov/sites/default/files/2022-08/2022_State_SIP_Strategy.pdf</w:t>
      </w:r>
    </w:p>
  </w:footnote>
  <w:footnote w:id="5">
    <w:p w14:paraId="6948FB87" w14:textId="47FA835A" w:rsidR="00093808" w:rsidRDefault="00093808">
      <w:pPr>
        <w:pStyle w:val="FootnoteText"/>
      </w:pPr>
      <w:r>
        <w:rPr>
          <w:rStyle w:val="FootnoteReference"/>
        </w:rPr>
        <w:footnoteRef/>
      </w:r>
      <w:r>
        <w:t xml:space="preserve"> </w:t>
      </w:r>
      <w:hyperlink r:id="rId2" w:history="1">
        <w:r w:rsidRPr="007D13DD">
          <w:rPr>
            <w:rStyle w:val="Hyperlink"/>
          </w:rPr>
          <w:t>https://www.energy.ca.gov/sites/default/files/2024-09/2025_California_Energy_Code_Fact_Sheet_ada.pdf</w:t>
        </w:r>
      </w:hyperlink>
      <w:r>
        <w:t xml:space="preserve"> </w:t>
      </w:r>
    </w:p>
  </w:footnote>
  <w:footnote w:id="6">
    <w:p w14:paraId="5CCF9614" w14:textId="7F68BE5B" w:rsidR="00093808" w:rsidRDefault="00093808">
      <w:pPr>
        <w:pStyle w:val="FootnoteText"/>
      </w:pPr>
      <w:r>
        <w:rPr>
          <w:rStyle w:val="FootnoteReference"/>
        </w:rPr>
        <w:footnoteRef/>
      </w:r>
      <w:r>
        <w:t xml:space="preserve"> PG&amp;E, SDG&amp;E and SoCalGas Energy Efficiency Business Plans, 2017</w:t>
      </w:r>
    </w:p>
  </w:footnote>
  <w:footnote w:id="7">
    <w:p w14:paraId="5F8C9276" w14:textId="214D0EAF" w:rsidR="00093808" w:rsidRDefault="00093808">
      <w:pPr>
        <w:pStyle w:val="FootnoteText"/>
      </w:pPr>
      <w:r>
        <w:rPr>
          <w:rStyle w:val="FootnoteReference"/>
        </w:rPr>
        <w:footnoteRef/>
      </w:r>
      <w:r>
        <w:t xml:space="preserve"> </w:t>
      </w:r>
      <w:hyperlink r:id="rId3" w:history="1">
        <w:r w:rsidRPr="007D13DD">
          <w:rPr>
            <w:rStyle w:val="Hyperlink"/>
          </w:rPr>
          <w:t>https://www.energy.ca.gov/sites/default/files/2024-02/Appendix%20K%20-%20Results%20at%20Building-type%20and%20End-Use%20Levels_ada.xlsx</w:t>
        </w:r>
      </w:hyperlink>
      <w:r>
        <w:t xml:space="preserve"> </w:t>
      </w:r>
    </w:p>
  </w:footnote>
  <w:footnote w:id="8">
    <w:p w14:paraId="0A4310A5" w14:textId="2E7CD282" w:rsidR="00093808" w:rsidRDefault="00093808">
      <w:pPr>
        <w:pStyle w:val="FootnoteText"/>
      </w:pPr>
      <w:r>
        <w:rPr>
          <w:rStyle w:val="FootnoteReference"/>
        </w:rPr>
        <w:footnoteRef/>
      </w:r>
      <w:r>
        <w:t xml:space="preserve"> See Note 8</w:t>
      </w:r>
    </w:p>
  </w:footnote>
  <w:footnote w:id="9">
    <w:p w14:paraId="4E66F161" w14:textId="1B8C1DFE" w:rsidR="00093808" w:rsidRDefault="00093808">
      <w:pPr>
        <w:pStyle w:val="FootnoteText"/>
      </w:pPr>
      <w:r>
        <w:rPr>
          <w:rStyle w:val="FootnoteReference"/>
        </w:rPr>
        <w:footnoteRef/>
      </w:r>
      <w:r>
        <w:t xml:space="preserve"> </w:t>
      </w:r>
      <w:r w:rsidRPr="00281AC7">
        <w:t>https://www.energy.ca.gov/sites/default/files/2021-08/CEC-200-2021-005-ES.pdf</w:t>
      </w:r>
    </w:p>
  </w:footnote>
  <w:footnote w:id="10">
    <w:p w14:paraId="631FCEFA" w14:textId="703D8A4A" w:rsidR="00093808" w:rsidRDefault="00093808">
      <w:pPr>
        <w:pStyle w:val="FootnoteText"/>
      </w:pPr>
      <w:r>
        <w:rPr>
          <w:rStyle w:val="FootnoteReference"/>
        </w:rPr>
        <w:footnoteRef/>
      </w:r>
      <w:r>
        <w:t xml:space="preserve"> </w:t>
      </w:r>
      <w:hyperlink r:id="rId4" w:history="1">
        <w:r w:rsidRPr="007D13DD">
          <w:rPr>
            <w:rStyle w:val="Hyperlink"/>
          </w:rPr>
          <w:t>https://cagastech.com/sites/default/files/TPM%20Redacted%207-10-23.xlsx</w:t>
        </w:r>
      </w:hyperlink>
      <w:r>
        <w:t xml:space="preserve"> </w:t>
      </w:r>
    </w:p>
  </w:footnote>
  <w:footnote w:id="11">
    <w:p w14:paraId="397C9FC9" w14:textId="71A319ED" w:rsidR="00093808" w:rsidRDefault="00093808" w:rsidP="00F93A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47B"/>
    <w:multiLevelType w:val="hybridMultilevel"/>
    <w:tmpl w:val="DE9497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662D1"/>
    <w:multiLevelType w:val="hybridMultilevel"/>
    <w:tmpl w:val="F2E28E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378F"/>
    <w:multiLevelType w:val="hybridMultilevel"/>
    <w:tmpl w:val="F2E28E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F57C6"/>
    <w:multiLevelType w:val="hybridMultilevel"/>
    <w:tmpl w:val="53486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76D7E"/>
    <w:multiLevelType w:val="hybridMultilevel"/>
    <w:tmpl w:val="896EC3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9765D"/>
    <w:multiLevelType w:val="hybridMultilevel"/>
    <w:tmpl w:val="55843A4E"/>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D148F"/>
    <w:multiLevelType w:val="hybridMultilevel"/>
    <w:tmpl w:val="596AC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F2846"/>
    <w:multiLevelType w:val="multilevel"/>
    <w:tmpl w:val="59AC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E92"/>
    <w:multiLevelType w:val="hybridMultilevel"/>
    <w:tmpl w:val="596AC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F5B58"/>
    <w:multiLevelType w:val="hybridMultilevel"/>
    <w:tmpl w:val="72AC94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157C4"/>
    <w:multiLevelType w:val="multilevel"/>
    <w:tmpl w:val="6994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4055B"/>
    <w:multiLevelType w:val="hybridMultilevel"/>
    <w:tmpl w:val="C0D4FB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394004"/>
    <w:multiLevelType w:val="hybridMultilevel"/>
    <w:tmpl w:val="5218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95BB4"/>
    <w:multiLevelType w:val="hybridMultilevel"/>
    <w:tmpl w:val="C0D4FB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895A6F"/>
    <w:multiLevelType w:val="multilevel"/>
    <w:tmpl w:val="471E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0089B"/>
    <w:multiLevelType w:val="hybridMultilevel"/>
    <w:tmpl w:val="CBB0ADEE"/>
    <w:lvl w:ilvl="0" w:tplc="04090011">
      <w:start w:val="1"/>
      <w:numFmt w:val="decimal"/>
      <w:lvlText w:val="%1)"/>
      <w:lvlJc w:val="left"/>
      <w:pPr>
        <w:ind w:left="934" w:hanging="360"/>
      </w:p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6" w15:restartNumberingAfterBreak="0">
    <w:nsid w:val="46E21018"/>
    <w:multiLevelType w:val="hybridMultilevel"/>
    <w:tmpl w:val="C0D4FB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33ED1"/>
    <w:multiLevelType w:val="hybridMultilevel"/>
    <w:tmpl w:val="55843A4E"/>
    <w:lvl w:ilvl="0" w:tplc="FFFFFFFF">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2F9684F"/>
    <w:multiLevelType w:val="multilevel"/>
    <w:tmpl w:val="8EA48F26"/>
    <w:styleLink w:val="CurrentList4"/>
    <w:lvl w:ilvl="0">
      <w:start w:val="2"/>
      <w:numFmt w:val="upperLetter"/>
      <w:lvlText w:val="%1."/>
      <w:lvlJc w:val="left"/>
      <w:pPr>
        <w:ind w:left="1100" w:hanging="360"/>
      </w:pPr>
      <w:rPr>
        <w:rFonts w:ascii="Times New Roman" w:eastAsia="Times New Roman" w:hAnsi="Times New Roman" w:cs="Times New Roman" w:hint="default"/>
        <w:b/>
        <w:bCs/>
        <w:i w:val="0"/>
        <w:iCs w:val="0"/>
        <w:spacing w:val="0"/>
        <w:w w:val="100"/>
        <w:sz w:val="24"/>
        <w:szCs w:val="24"/>
        <w:u w:val="single" w:color="000000"/>
      </w:rPr>
    </w:lvl>
    <w:lvl w:ilvl="1">
      <w:start w:val="1"/>
      <w:numFmt w:val="decimal"/>
      <w:lvlText w:val="%2."/>
      <w:lvlJc w:val="left"/>
      <w:pPr>
        <w:ind w:left="1100" w:hanging="360"/>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984" w:hanging="360"/>
      </w:pPr>
      <w:rPr>
        <w:rFonts w:hint="default"/>
      </w:rPr>
    </w:lvl>
    <w:lvl w:ilvl="3">
      <w:numFmt w:val="bullet"/>
      <w:lvlText w:val="•"/>
      <w:lvlJc w:val="left"/>
      <w:pPr>
        <w:ind w:left="3926" w:hanging="360"/>
      </w:pPr>
      <w:rPr>
        <w:rFonts w:hint="default"/>
      </w:rPr>
    </w:lvl>
    <w:lvl w:ilvl="4">
      <w:numFmt w:val="bullet"/>
      <w:lvlText w:val="•"/>
      <w:lvlJc w:val="left"/>
      <w:pPr>
        <w:ind w:left="4868" w:hanging="360"/>
      </w:pPr>
      <w:rPr>
        <w:rFonts w:hint="default"/>
      </w:rPr>
    </w:lvl>
    <w:lvl w:ilvl="5">
      <w:numFmt w:val="bullet"/>
      <w:lvlText w:val="•"/>
      <w:lvlJc w:val="left"/>
      <w:pPr>
        <w:ind w:left="5810" w:hanging="360"/>
      </w:pPr>
      <w:rPr>
        <w:rFonts w:hint="default"/>
      </w:rPr>
    </w:lvl>
    <w:lvl w:ilvl="6">
      <w:numFmt w:val="bullet"/>
      <w:lvlText w:val="•"/>
      <w:lvlJc w:val="left"/>
      <w:pPr>
        <w:ind w:left="6752" w:hanging="360"/>
      </w:pPr>
      <w:rPr>
        <w:rFonts w:hint="default"/>
      </w:rPr>
    </w:lvl>
    <w:lvl w:ilvl="7">
      <w:numFmt w:val="bullet"/>
      <w:lvlText w:val="•"/>
      <w:lvlJc w:val="left"/>
      <w:pPr>
        <w:ind w:left="7694" w:hanging="360"/>
      </w:pPr>
      <w:rPr>
        <w:rFonts w:hint="default"/>
      </w:rPr>
    </w:lvl>
    <w:lvl w:ilvl="8">
      <w:numFmt w:val="bullet"/>
      <w:lvlText w:val="•"/>
      <w:lvlJc w:val="left"/>
      <w:pPr>
        <w:ind w:left="8636" w:hanging="360"/>
      </w:pPr>
      <w:rPr>
        <w:rFonts w:hint="default"/>
      </w:rPr>
    </w:lvl>
  </w:abstractNum>
  <w:abstractNum w:abstractNumId="19" w15:restartNumberingAfterBreak="0">
    <w:nsid w:val="58480019"/>
    <w:multiLevelType w:val="hybridMultilevel"/>
    <w:tmpl w:val="D1AEB1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55F93"/>
    <w:multiLevelType w:val="multilevel"/>
    <w:tmpl w:val="8F38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47018"/>
    <w:multiLevelType w:val="multilevel"/>
    <w:tmpl w:val="5290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167AD9"/>
    <w:multiLevelType w:val="multilevel"/>
    <w:tmpl w:val="C868F84C"/>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B50721"/>
    <w:multiLevelType w:val="hybridMultilevel"/>
    <w:tmpl w:val="E59AF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D1235"/>
    <w:multiLevelType w:val="hybridMultilevel"/>
    <w:tmpl w:val="5E2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42200"/>
    <w:multiLevelType w:val="multilevel"/>
    <w:tmpl w:val="E388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87C52"/>
    <w:multiLevelType w:val="hybridMultilevel"/>
    <w:tmpl w:val="E162E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65707"/>
    <w:multiLevelType w:val="multilevel"/>
    <w:tmpl w:val="7EF02598"/>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85152"/>
    <w:multiLevelType w:val="hybridMultilevel"/>
    <w:tmpl w:val="596AC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B2EA7"/>
    <w:multiLevelType w:val="hybridMultilevel"/>
    <w:tmpl w:val="F2E28E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682683"/>
    <w:multiLevelType w:val="hybridMultilevel"/>
    <w:tmpl w:val="0C160A76"/>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D7E9B"/>
    <w:multiLevelType w:val="hybridMultilevel"/>
    <w:tmpl w:val="726E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C6580"/>
    <w:multiLevelType w:val="hybridMultilevel"/>
    <w:tmpl w:val="0C160A76"/>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4E0768"/>
    <w:multiLevelType w:val="hybridMultilevel"/>
    <w:tmpl w:val="07C0D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211A"/>
    <w:multiLevelType w:val="hybridMultilevel"/>
    <w:tmpl w:val="3946C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B6ABD"/>
    <w:multiLevelType w:val="multilevel"/>
    <w:tmpl w:val="7EF02598"/>
    <w:styleLink w:val="CurrentList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084D92"/>
    <w:multiLevelType w:val="hybridMultilevel"/>
    <w:tmpl w:val="37E01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9924">
    <w:abstractNumId w:val="22"/>
  </w:num>
  <w:num w:numId="2" w16cid:durableId="1175266322">
    <w:abstractNumId w:val="27"/>
  </w:num>
  <w:num w:numId="3" w16cid:durableId="1698265664">
    <w:abstractNumId w:val="35"/>
  </w:num>
  <w:num w:numId="4" w16cid:durableId="437794389">
    <w:abstractNumId w:val="18"/>
  </w:num>
  <w:num w:numId="5" w16cid:durableId="912668414">
    <w:abstractNumId w:val="24"/>
  </w:num>
  <w:num w:numId="6" w16cid:durableId="330916369">
    <w:abstractNumId w:val="9"/>
  </w:num>
  <w:num w:numId="7" w16cid:durableId="1992907645">
    <w:abstractNumId w:val="16"/>
  </w:num>
  <w:num w:numId="8" w16cid:durableId="1838424511">
    <w:abstractNumId w:val="11"/>
  </w:num>
  <w:num w:numId="9" w16cid:durableId="447043229">
    <w:abstractNumId w:val="0"/>
  </w:num>
  <w:num w:numId="10" w16cid:durableId="973483816">
    <w:abstractNumId w:val="1"/>
  </w:num>
  <w:num w:numId="11" w16cid:durableId="100344700">
    <w:abstractNumId w:val="3"/>
  </w:num>
  <w:num w:numId="12" w16cid:durableId="1043554232">
    <w:abstractNumId w:val="23"/>
  </w:num>
  <w:num w:numId="13" w16cid:durableId="982807966">
    <w:abstractNumId w:val="28"/>
  </w:num>
  <w:num w:numId="14" w16cid:durableId="800461750">
    <w:abstractNumId w:val="6"/>
  </w:num>
  <w:num w:numId="15" w16cid:durableId="392117529">
    <w:abstractNumId w:val="32"/>
  </w:num>
  <w:num w:numId="16" w16cid:durableId="1212576586">
    <w:abstractNumId w:val="5"/>
  </w:num>
  <w:num w:numId="17" w16cid:durableId="1789078180">
    <w:abstractNumId w:val="15"/>
  </w:num>
  <w:num w:numId="18" w16cid:durableId="996883932">
    <w:abstractNumId w:val="8"/>
  </w:num>
  <w:num w:numId="19" w16cid:durableId="834880737">
    <w:abstractNumId w:val="12"/>
  </w:num>
  <w:num w:numId="20" w16cid:durableId="855116088">
    <w:abstractNumId w:val="34"/>
  </w:num>
  <w:num w:numId="21" w16cid:durableId="171573381">
    <w:abstractNumId w:val="4"/>
  </w:num>
  <w:num w:numId="22" w16cid:durableId="169373408">
    <w:abstractNumId w:val="2"/>
  </w:num>
  <w:num w:numId="23" w16cid:durableId="399446587">
    <w:abstractNumId w:val="30"/>
  </w:num>
  <w:num w:numId="24" w16cid:durableId="1779059195">
    <w:abstractNumId w:val="26"/>
  </w:num>
  <w:num w:numId="25" w16cid:durableId="1166673373">
    <w:abstractNumId w:val="13"/>
  </w:num>
  <w:num w:numId="26" w16cid:durableId="2126387688">
    <w:abstractNumId w:val="29"/>
  </w:num>
  <w:num w:numId="27" w16cid:durableId="640429955">
    <w:abstractNumId w:val="17"/>
  </w:num>
  <w:num w:numId="28" w16cid:durableId="991786181">
    <w:abstractNumId w:val="33"/>
  </w:num>
  <w:num w:numId="29" w16cid:durableId="1124156048">
    <w:abstractNumId w:val="14"/>
  </w:num>
  <w:num w:numId="30" w16cid:durableId="1763409901">
    <w:abstractNumId w:val="36"/>
  </w:num>
  <w:num w:numId="31" w16cid:durableId="1789854236">
    <w:abstractNumId w:val="21"/>
  </w:num>
  <w:num w:numId="32" w16cid:durableId="82458446">
    <w:abstractNumId w:val="19"/>
  </w:num>
  <w:num w:numId="33" w16cid:durableId="1697534089">
    <w:abstractNumId w:val="31"/>
  </w:num>
  <w:num w:numId="34" w16cid:durableId="342050910">
    <w:abstractNumId w:val="20"/>
  </w:num>
  <w:num w:numId="35" w16cid:durableId="106776642">
    <w:abstractNumId w:val="7"/>
  </w:num>
  <w:num w:numId="36" w16cid:durableId="176577454">
    <w:abstractNumId w:val="25"/>
  </w:num>
  <w:num w:numId="37" w16cid:durableId="106043886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TcwsDQ1NjezMDNQ0lEKTi0uzszPAykwqQUAnik9ASwAAAA="/>
  </w:docVars>
  <w:rsids>
    <w:rsidRoot w:val="002E5DEE"/>
    <w:rsid w:val="000004B5"/>
    <w:rsid w:val="00000B41"/>
    <w:rsid w:val="000014A7"/>
    <w:rsid w:val="000015B9"/>
    <w:rsid w:val="00002912"/>
    <w:rsid w:val="000029FB"/>
    <w:rsid w:val="00003181"/>
    <w:rsid w:val="0000331D"/>
    <w:rsid w:val="00004073"/>
    <w:rsid w:val="0000485E"/>
    <w:rsid w:val="0000497C"/>
    <w:rsid w:val="000049FA"/>
    <w:rsid w:val="00004A36"/>
    <w:rsid w:val="000050D4"/>
    <w:rsid w:val="0000526D"/>
    <w:rsid w:val="0000532A"/>
    <w:rsid w:val="000055BF"/>
    <w:rsid w:val="00005615"/>
    <w:rsid w:val="0000629A"/>
    <w:rsid w:val="00006DB0"/>
    <w:rsid w:val="00006EB7"/>
    <w:rsid w:val="00007258"/>
    <w:rsid w:val="00007350"/>
    <w:rsid w:val="000073AF"/>
    <w:rsid w:val="000073D5"/>
    <w:rsid w:val="000074FD"/>
    <w:rsid w:val="00007722"/>
    <w:rsid w:val="00007EDA"/>
    <w:rsid w:val="000102EF"/>
    <w:rsid w:val="0001091A"/>
    <w:rsid w:val="00010C5B"/>
    <w:rsid w:val="00010D74"/>
    <w:rsid w:val="00010E53"/>
    <w:rsid w:val="00011FA2"/>
    <w:rsid w:val="0001200E"/>
    <w:rsid w:val="00012048"/>
    <w:rsid w:val="000120CE"/>
    <w:rsid w:val="0001278C"/>
    <w:rsid w:val="00013450"/>
    <w:rsid w:val="000140F2"/>
    <w:rsid w:val="00014AC6"/>
    <w:rsid w:val="00014C72"/>
    <w:rsid w:val="00015EF3"/>
    <w:rsid w:val="000165FA"/>
    <w:rsid w:val="00016994"/>
    <w:rsid w:val="000169AC"/>
    <w:rsid w:val="00016C0B"/>
    <w:rsid w:val="00016D24"/>
    <w:rsid w:val="000171D8"/>
    <w:rsid w:val="000175E7"/>
    <w:rsid w:val="00017E4A"/>
    <w:rsid w:val="0002108C"/>
    <w:rsid w:val="00021F64"/>
    <w:rsid w:val="00021FB3"/>
    <w:rsid w:val="000236B3"/>
    <w:rsid w:val="0002370D"/>
    <w:rsid w:val="00023A90"/>
    <w:rsid w:val="00023ABA"/>
    <w:rsid w:val="000241C1"/>
    <w:rsid w:val="0002431B"/>
    <w:rsid w:val="00024DBB"/>
    <w:rsid w:val="000253DF"/>
    <w:rsid w:val="000275F0"/>
    <w:rsid w:val="00030BF1"/>
    <w:rsid w:val="00033D21"/>
    <w:rsid w:val="00033D82"/>
    <w:rsid w:val="00034252"/>
    <w:rsid w:val="00034419"/>
    <w:rsid w:val="00034639"/>
    <w:rsid w:val="000359FD"/>
    <w:rsid w:val="00036278"/>
    <w:rsid w:val="0003645D"/>
    <w:rsid w:val="00036F24"/>
    <w:rsid w:val="00037190"/>
    <w:rsid w:val="00037815"/>
    <w:rsid w:val="00040A96"/>
    <w:rsid w:val="0004135C"/>
    <w:rsid w:val="0004157C"/>
    <w:rsid w:val="00043B06"/>
    <w:rsid w:val="00044327"/>
    <w:rsid w:val="0004498B"/>
    <w:rsid w:val="0004588C"/>
    <w:rsid w:val="00045A18"/>
    <w:rsid w:val="000460FA"/>
    <w:rsid w:val="00046671"/>
    <w:rsid w:val="000466EE"/>
    <w:rsid w:val="00046ED4"/>
    <w:rsid w:val="000471DD"/>
    <w:rsid w:val="00047D7D"/>
    <w:rsid w:val="00050270"/>
    <w:rsid w:val="00052629"/>
    <w:rsid w:val="00053484"/>
    <w:rsid w:val="00053F26"/>
    <w:rsid w:val="000540BF"/>
    <w:rsid w:val="000542C4"/>
    <w:rsid w:val="000559A8"/>
    <w:rsid w:val="00055F0D"/>
    <w:rsid w:val="0005692B"/>
    <w:rsid w:val="00056AF6"/>
    <w:rsid w:val="0006151D"/>
    <w:rsid w:val="00061BCE"/>
    <w:rsid w:val="0006272D"/>
    <w:rsid w:val="00062B01"/>
    <w:rsid w:val="00062B93"/>
    <w:rsid w:val="00062D8B"/>
    <w:rsid w:val="00062EF0"/>
    <w:rsid w:val="0006322B"/>
    <w:rsid w:val="00063408"/>
    <w:rsid w:val="00063633"/>
    <w:rsid w:val="0006375C"/>
    <w:rsid w:val="00063B9A"/>
    <w:rsid w:val="00063D67"/>
    <w:rsid w:val="00063E21"/>
    <w:rsid w:val="00064572"/>
    <w:rsid w:val="0006496A"/>
    <w:rsid w:val="00065053"/>
    <w:rsid w:val="0006538D"/>
    <w:rsid w:val="000665D3"/>
    <w:rsid w:val="0006769B"/>
    <w:rsid w:val="000709BB"/>
    <w:rsid w:val="000718FF"/>
    <w:rsid w:val="00071F4A"/>
    <w:rsid w:val="0007216A"/>
    <w:rsid w:val="000724A6"/>
    <w:rsid w:val="000725A6"/>
    <w:rsid w:val="0007368D"/>
    <w:rsid w:val="0007631B"/>
    <w:rsid w:val="000768B3"/>
    <w:rsid w:val="000774A6"/>
    <w:rsid w:val="000779D9"/>
    <w:rsid w:val="00080570"/>
    <w:rsid w:val="0008185E"/>
    <w:rsid w:val="0008271C"/>
    <w:rsid w:val="0008311E"/>
    <w:rsid w:val="0008335F"/>
    <w:rsid w:val="000834FD"/>
    <w:rsid w:val="0008366B"/>
    <w:rsid w:val="0008380C"/>
    <w:rsid w:val="00083EA0"/>
    <w:rsid w:val="00083F70"/>
    <w:rsid w:val="00084938"/>
    <w:rsid w:val="00084E37"/>
    <w:rsid w:val="0008505B"/>
    <w:rsid w:val="0008538C"/>
    <w:rsid w:val="00087797"/>
    <w:rsid w:val="00090115"/>
    <w:rsid w:val="000904E7"/>
    <w:rsid w:val="00090785"/>
    <w:rsid w:val="00090BBA"/>
    <w:rsid w:val="00091828"/>
    <w:rsid w:val="000919DB"/>
    <w:rsid w:val="000920E8"/>
    <w:rsid w:val="000928ED"/>
    <w:rsid w:val="00093722"/>
    <w:rsid w:val="00093808"/>
    <w:rsid w:val="00093935"/>
    <w:rsid w:val="00094BCC"/>
    <w:rsid w:val="00094BF2"/>
    <w:rsid w:val="00094FBE"/>
    <w:rsid w:val="00095D8B"/>
    <w:rsid w:val="00095EF5"/>
    <w:rsid w:val="00097683"/>
    <w:rsid w:val="0009769B"/>
    <w:rsid w:val="000A039A"/>
    <w:rsid w:val="000A0858"/>
    <w:rsid w:val="000A099C"/>
    <w:rsid w:val="000A0C46"/>
    <w:rsid w:val="000A156F"/>
    <w:rsid w:val="000A2491"/>
    <w:rsid w:val="000A417F"/>
    <w:rsid w:val="000A49C4"/>
    <w:rsid w:val="000A4C33"/>
    <w:rsid w:val="000A505F"/>
    <w:rsid w:val="000A5503"/>
    <w:rsid w:val="000A6AA2"/>
    <w:rsid w:val="000A6AC6"/>
    <w:rsid w:val="000A7D12"/>
    <w:rsid w:val="000A7E8E"/>
    <w:rsid w:val="000A7EFE"/>
    <w:rsid w:val="000B01CB"/>
    <w:rsid w:val="000B0286"/>
    <w:rsid w:val="000B0CD7"/>
    <w:rsid w:val="000B0E74"/>
    <w:rsid w:val="000B11E6"/>
    <w:rsid w:val="000B1D60"/>
    <w:rsid w:val="000B2CCD"/>
    <w:rsid w:val="000B3AF8"/>
    <w:rsid w:val="000B3B27"/>
    <w:rsid w:val="000B4778"/>
    <w:rsid w:val="000B5B71"/>
    <w:rsid w:val="000B5B99"/>
    <w:rsid w:val="000B5D0E"/>
    <w:rsid w:val="000B5F81"/>
    <w:rsid w:val="000B723A"/>
    <w:rsid w:val="000B73A5"/>
    <w:rsid w:val="000C040A"/>
    <w:rsid w:val="000C0579"/>
    <w:rsid w:val="000C0860"/>
    <w:rsid w:val="000C1AE0"/>
    <w:rsid w:val="000C2432"/>
    <w:rsid w:val="000C2548"/>
    <w:rsid w:val="000C2B90"/>
    <w:rsid w:val="000C2D27"/>
    <w:rsid w:val="000C36EB"/>
    <w:rsid w:val="000C39EB"/>
    <w:rsid w:val="000C4A50"/>
    <w:rsid w:val="000C5406"/>
    <w:rsid w:val="000C5F8C"/>
    <w:rsid w:val="000C66BC"/>
    <w:rsid w:val="000C687A"/>
    <w:rsid w:val="000C7E6E"/>
    <w:rsid w:val="000C7ED8"/>
    <w:rsid w:val="000D0887"/>
    <w:rsid w:val="000D1130"/>
    <w:rsid w:val="000D1968"/>
    <w:rsid w:val="000D1AE2"/>
    <w:rsid w:val="000D1DDF"/>
    <w:rsid w:val="000D1FF2"/>
    <w:rsid w:val="000D2104"/>
    <w:rsid w:val="000D30B1"/>
    <w:rsid w:val="000D30BF"/>
    <w:rsid w:val="000D5FDE"/>
    <w:rsid w:val="000D7819"/>
    <w:rsid w:val="000E0694"/>
    <w:rsid w:val="000E06FB"/>
    <w:rsid w:val="000E08BF"/>
    <w:rsid w:val="000E1481"/>
    <w:rsid w:val="000E1D59"/>
    <w:rsid w:val="000E1ED4"/>
    <w:rsid w:val="000E2B0B"/>
    <w:rsid w:val="000E2B7B"/>
    <w:rsid w:val="000E2DEF"/>
    <w:rsid w:val="000E2FC1"/>
    <w:rsid w:val="000E38C2"/>
    <w:rsid w:val="000E3F6C"/>
    <w:rsid w:val="000E406A"/>
    <w:rsid w:val="000E469A"/>
    <w:rsid w:val="000E4942"/>
    <w:rsid w:val="000E4B63"/>
    <w:rsid w:val="000E4B6F"/>
    <w:rsid w:val="000E4BA1"/>
    <w:rsid w:val="000E50EE"/>
    <w:rsid w:val="000E5DFD"/>
    <w:rsid w:val="000E6C2E"/>
    <w:rsid w:val="000E71F4"/>
    <w:rsid w:val="000E76FA"/>
    <w:rsid w:val="000E7766"/>
    <w:rsid w:val="000E7B99"/>
    <w:rsid w:val="000E7F88"/>
    <w:rsid w:val="000F04A6"/>
    <w:rsid w:val="000F09C1"/>
    <w:rsid w:val="000F1B38"/>
    <w:rsid w:val="000F1CCD"/>
    <w:rsid w:val="000F21B0"/>
    <w:rsid w:val="000F34C4"/>
    <w:rsid w:val="000F4A96"/>
    <w:rsid w:val="000F4AC7"/>
    <w:rsid w:val="000F4AF8"/>
    <w:rsid w:val="000F5B04"/>
    <w:rsid w:val="000F5B7E"/>
    <w:rsid w:val="000F630C"/>
    <w:rsid w:val="000F6D38"/>
    <w:rsid w:val="000F6EDD"/>
    <w:rsid w:val="000F798A"/>
    <w:rsid w:val="0010029A"/>
    <w:rsid w:val="00100471"/>
    <w:rsid w:val="00102019"/>
    <w:rsid w:val="00102036"/>
    <w:rsid w:val="00102980"/>
    <w:rsid w:val="001039FB"/>
    <w:rsid w:val="00103A93"/>
    <w:rsid w:val="00103C3E"/>
    <w:rsid w:val="00104E35"/>
    <w:rsid w:val="00105AA7"/>
    <w:rsid w:val="001061A2"/>
    <w:rsid w:val="00106403"/>
    <w:rsid w:val="00106593"/>
    <w:rsid w:val="00106A9A"/>
    <w:rsid w:val="00106ADA"/>
    <w:rsid w:val="001100A5"/>
    <w:rsid w:val="001102D2"/>
    <w:rsid w:val="0011110E"/>
    <w:rsid w:val="001118F6"/>
    <w:rsid w:val="00111E8F"/>
    <w:rsid w:val="0011227A"/>
    <w:rsid w:val="00112344"/>
    <w:rsid w:val="001145D7"/>
    <w:rsid w:val="00114797"/>
    <w:rsid w:val="00114A21"/>
    <w:rsid w:val="0011570F"/>
    <w:rsid w:val="0011640E"/>
    <w:rsid w:val="001166A3"/>
    <w:rsid w:val="00116C57"/>
    <w:rsid w:val="00116DDA"/>
    <w:rsid w:val="00117639"/>
    <w:rsid w:val="00117751"/>
    <w:rsid w:val="0012001D"/>
    <w:rsid w:val="0012004E"/>
    <w:rsid w:val="001200A6"/>
    <w:rsid w:val="00121C9A"/>
    <w:rsid w:val="00121DEE"/>
    <w:rsid w:val="001223FC"/>
    <w:rsid w:val="00122948"/>
    <w:rsid w:val="001234FF"/>
    <w:rsid w:val="00123AE1"/>
    <w:rsid w:val="00123D79"/>
    <w:rsid w:val="00124C39"/>
    <w:rsid w:val="0012526F"/>
    <w:rsid w:val="001252F7"/>
    <w:rsid w:val="00125BAE"/>
    <w:rsid w:val="0012653A"/>
    <w:rsid w:val="00126DDC"/>
    <w:rsid w:val="00126FEB"/>
    <w:rsid w:val="00127169"/>
    <w:rsid w:val="00127549"/>
    <w:rsid w:val="0012784C"/>
    <w:rsid w:val="001278FF"/>
    <w:rsid w:val="00127903"/>
    <w:rsid w:val="00127B87"/>
    <w:rsid w:val="00131354"/>
    <w:rsid w:val="00131DC1"/>
    <w:rsid w:val="00132180"/>
    <w:rsid w:val="001324AD"/>
    <w:rsid w:val="00132700"/>
    <w:rsid w:val="001330D0"/>
    <w:rsid w:val="00133507"/>
    <w:rsid w:val="001336ED"/>
    <w:rsid w:val="00134356"/>
    <w:rsid w:val="00134931"/>
    <w:rsid w:val="00134C48"/>
    <w:rsid w:val="001370F3"/>
    <w:rsid w:val="00137D19"/>
    <w:rsid w:val="001404D4"/>
    <w:rsid w:val="00140F33"/>
    <w:rsid w:val="00142371"/>
    <w:rsid w:val="00142AE0"/>
    <w:rsid w:val="00143A2A"/>
    <w:rsid w:val="00143E52"/>
    <w:rsid w:val="00145945"/>
    <w:rsid w:val="001459F9"/>
    <w:rsid w:val="00145D12"/>
    <w:rsid w:val="0014695E"/>
    <w:rsid w:val="00146A3B"/>
    <w:rsid w:val="00146FD5"/>
    <w:rsid w:val="00146FE2"/>
    <w:rsid w:val="00147AD2"/>
    <w:rsid w:val="00150B2C"/>
    <w:rsid w:val="00150FF9"/>
    <w:rsid w:val="00151790"/>
    <w:rsid w:val="00151AF4"/>
    <w:rsid w:val="00151C1F"/>
    <w:rsid w:val="001528B9"/>
    <w:rsid w:val="00154097"/>
    <w:rsid w:val="00154DE2"/>
    <w:rsid w:val="00156532"/>
    <w:rsid w:val="0015698C"/>
    <w:rsid w:val="001576CE"/>
    <w:rsid w:val="00157B73"/>
    <w:rsid w:val="00160506"/>
    <w:rsid w:val="00160A33"/>
    <w:rsid w:val="001615D1"/>
    <w:rsid w:val="001616A6"/>
    <w:rsid w:val="0016175D"/>
    <w:rsid w:val="00161AA9"/>
    <w:rsid w:val="0016249D"/>
    <w:rsid w:val="0016273F"/>
    <w:rsid w:val="00162CB0"/>
    <w:rsid w:val="00162F7D"/>
    <w:rsid w:val="00163461"/>
    <w:rsid w:val="001638CA"/>
    <w:rsid w:val="00163F5A"/>
    <w:rsid w:val="0016454A"/>
    <w:rsid w:val="0016488B"/>
    <w:rsid w:val="00164E12"/>
    <w:rsid w:val="0016630F"/>
    <w:rsid w:val="00166424"/>
    <w:rsid w:val="00166ACA"/>
    <w:rsid w:val="00167766"/>
    <w:rsid w:val="00167CC8"/>
    <w:rsid w:val="001702F8"/>
    <w:rsid w:val="001706CB"/>
    <w:rsid w:val="00170D23"/>
    <w:rsid w:val="0017135A"/>
    <w:rsid w:val="001714F3"/>
    <w:rsid w:val="001719F1"/>
    <w:rsid w:val="00172589"/>
    <w:rsid w:val="00172DF7"/>
    <w:rsid w:val="00172E3D"/>
    <w:rsid w:val="001734B6"/>
    <w:rsid w:val="00173819"/>
    <w:rsid w:val="00173FF3"/>
    <w:rsid w:val="0017426A"/>
    <w:rsid w:val="00174B82"/>
    <w:rsid w:val="00176CFD"/>
    <w:rsid w:val="00176D62"/>
    <w:rsid w:val="00177037"/>
    <w:rsid w:val="001805E9"/>
    <w:rsid w:val="00180688"/>
    <w:rsid w:val="00181C23"/>
    <w:rsid w:val="00181C40"/>
    <w:rsid w:val="00181F09"/>
    <w:rsid w:val="0018251F"/>
    <w:rsid w:val="00183058"/>
    <w:rsid w:val="00183599"/>
    <w:rsid w:val="0018485E"/>
    <w:rsid w:val="00185606"/>
    <w:rsid w:val="001857DC"/>
    <w:rsid w:val="0018599C"/>
    <w:rsid w:val="00186556"/>
    <w:rsid w:val="00186A22"/>
    <w:rsid w:val="00187458"/>
    <w:rsid w:val="00187E7F"/>
    <w:rsid w:val="00190431"/>
    <w:rsid w:val="001909CC"/>
    <w:rsid w:val="001918AE"/>
    <w:rsid w:val="00191FBA"/>
    <w:rsid w:val="00192726"/>
    <w:rsid w:val="00192797"/>
    <w:rsid w:val="00192D4D"/>
    <w:rsid w:val="00192F90"/>
    <w:rsid w:val="00193108"/>
    <w:rsid w:val="001939AC"/>
    <w:rsid w:val="00193DA7"/>
    <w:rsid w:val="0019406D"/>
    <w:rsid w:val="0019440E"/>
    <w:rsid w:val="00194E22"/>
    <w:rsid w:val="0019502C"/>
    <w:rsid w:val="00195280"/>
    <w:rsid w:val="0019561D"/>
    <w:rsid w:val="00195C9B"/>
    <w:rsid w:val="001962FA"/>
    <w:rsid w:val="001965BB"/>
    <w:rsid w:val="00196ABB"/>
    <w:rsid w:val="0019701B"/>
    <w:rsid w:val="001970D3"/>
    <w:rsid w:val="00197816"/>
    <w:rsid w:val="00197B75"/>
    <w:rsid w:val="00197C3D"/>
    <w:rsid w:val="00197D5F"/>
    <w:rsid w:val="001A153B"/>
    <w:rsid w:val="001A1B2B"/>
    <w:rsid w:val="001A2AF0"/>
    <w:rsid w:val="001A2DB8"/>
    <w:rsid w:val="001A4649"/>
    <w:rsid w:val="001A47AB"/>
    <w:rsid w:val="001A4E9C"/>
    <w:rsid w:val="001A732B"/>
    <w:rsid w:val="001A75FA"/>
    <w:rsid w:val="001A7670"/>
    <w:rsid w:val="001A7F5F"/>
    <w:rsid w:val="001B0C3C"/>
    <w:rsid w:val="001B12E8"/>
    <w:rsid w:val="001B35D9"/>
    <w:rsid w:val="001B3BD4"/>
    <w:rsid w:val="001B4043"/>
    <w:rsid w:val="001B479C"/>
    <w:rsid w:val="001B575C"/>
    <w:rsid w:val="001B5A34"/>
    <w:rsid w:val="001B6736"/>
    <w:rsid w:val="001B687F"/>
    <w:rsid w:val="001B738F"/>
    <w:rsid w:val="001B7B88"/>
    <w:rsid w:val="001B7C0F"/>
    <w:rsid w:val="001B7CDD"/>
    <w:rsid w:val="001C0D7B"/>
    <w:rsid w:val="001C17E0"/>
    <w:rsid w:val="001C21A5"/>
    <w:rsid w:val="001C27A4"/>
    <w:rsid w:val="001C2D51"/>
    <w:rsid w:val="001C2D91"/>
    <w:rsid w:val="001C3C78"/>
    <w:rsid w:val="001C425E"/>
    <w:rsid w:val="001C50B8"/>
    <w:rsid w:val="001C5317"/>
    <w:rsid w:val="001C5510"/>
    <w:rsid w:val="001C5D0D"/>
    <w:rsid w:val="001C5FC1"/>
    <w:rsid w:val="001C624F"/>
    <w:rsid w:val="001C658F"/>
    <w:rsid w:val="001C659E"/>
    <w:rsid w:val="001C7112"/>
    <w:rsid w:val="001C759A"/>
    <w:rsid w:val="001D0240"/>
    <w:rsid w:val="001D0724"/>
    <w:rsid w:val="001D1B69"/>
    <w:rsid w:val="001D267D"/>
    <w:rsid w:val="001D2A9C"/>
    <w:rsid w:val="001D2CE5"/>
    <w:rsid w:val="001D459A"/>
    <w:rsid w:val="001D46CA"/>
    <w:rsid w:val="001D4933"/>
    <w:rsid w:val="001D4C09"/>
    <w:rsid w:val="001D5D78"/>
    <w:rsid w:val="001D6B9A"/>
    <w:rsid w:val="001D6C95"/>
    <w:rsid w:val="001D7355"/>
    <w:rsid w:val="001D78EF"/>
    <w:rsid w:val="001D7A0F"/>
    <w:rsid w:val="001D7B17"/>
    <w:rsid w:val="001E019F"/>
    <w:rsid w:val="001E0720"/>
    <w:rsid w:val="001E08B5"/>
    <w:rsid w:val="001E0EE2"/>
    <w:rsid w:val="001E17F5"/>
    <w:rsid w:val="001E27FD"/>
    <w:rsid w:val="001E3AD9"/>
    <w:rsid w:val="001E4D49"/>
    <w:rsid w:val="001E564B"/>
    <w:rsid w:val="001E573F"/>
    <w:rsid w:val="001E6B46"/>
    <w:rsid w:val="001E7B5E"/>
    <w:rsid w:val="001F0992"/>
    <w:rsid w:val="001F0D67"/>
    <w:rsid w:val="001F0E52"/>
    <w:rsid w:val="001F0E7A"/>
    <w:rsid w:val="001F0F02"/>
    <w:rsid w:val="001F0F6C"/>
    <w:rsid w:val="001F1216"/>
    <w:rsid w:val="001F190D"/>
    <w:rsid w:val="001F1931"/>
    <w:rsid w:val="001F27A2"/>
    <w:rsid w:val="001F2870"/>
    <w:rsid w:val="001F2984"/>
    <w:rsid w:val="001F2F71"/>
    <w:rsid w:val="001F3544"/>
    <w:rsid w:val="001F35AB"/>
    <w:rsid w:val="001F3A76"/>
    <w:rsid w:val="001F3B88"/>
    <w:rsid w:val="001F6B97"/>
    <w:rsid w:val="001F7062"/>
    <w:rsid w:val="001F7D17"/>
    <w:rsid w:val="002005C7"/>
    <w:rsid w:val="00200C8C"/>
    <w:rsid w:val="00200DF1"/>
    <w:rsid w:val="00201386"/>
    <w:rsid w:val="002017ED"/>
    <w:rsid w:val="00201AEF"/>
    <w:rsid w:val="00201BD7"/>
    <w:rsid w:val="00202617"/>
    <w:rsid w:val="00202EAE"/>
    <w:rsid w:val="00204481"/>
    <w:rsid w:val="00204ED1"/>
    <w:rsid w:val="00204FF4"/>
    <w:rsid w:val="002050E5"/>
    <w:rsid w:val="002056B1"/>
    <w:rsid w:val="00205B17"/>
    <w:rsid w:val="0020615D"/>
    <w:rsid w:val="0020675B"/>
    <w:rsid w:val="002067B3"/>
    <w:rsid w:val="0021067B"/>
    <w:rsid w:val="00211A20"/>
    <w:rsid w:val="00211C61"/>
    <w:rsid w:val="00212195"/>
    <w:rsid w:val="002126DE"/>
    <w:rsid w:val="002127C0"/>
    <w:rsid w:val="002127F0"/>
    <w:rsid w:val="00212D2F"/>
    <w:rsid w:val="00212D43"/>
    <w:rsid w:val="0021309D"/>
    <w:rsid w:val="0021332C"/>
    <w:rsid w:val="00213A83"/>
    <w:rsid w:val="00213D03"/>
    <w:rsid w:val="00214071"/>
    <w:rsid w:val="00214A7C"/>
    <w:rsid w:val="00214DA1"/>
    <w:rsid w:val="00215786"/>
    <w:rsid w:val="00215A2D"/>
    <w:rsid w:val="00216339"/>
    <w:rsid w:val="002166FE"/>
    <w:rsid w:val="00216B70"/>
    <w:rsid w:val="00216E84"/>
    <w:rsid w:val="00216FB0"/>
    <w:rsid w:val="00217F57"/>
    <w:rsid w:val="002207D8"/>
    <w:rsid w:val="00220B05"/>
    <w:rsid w:val="00220F4E"/>
    <w:rsid w:val="002232A2"/>
    <w:rsid w:val="00223886"/>
    <w:rsid w:val="00226066"/>
    <w:rsid w:val="00226558"/>
    <w:rsid w:val="0022710A"/>
    <w:rsid w:val="00227F31"/>
    <w:rsid w:val="00227FB2"/>
    <w:rsid w:val="002317DA"/>
    <w:rsid w:val="002323DE"/>
    <w:rsid w:val="00232573"/>
    <w:rsid w:val="00232878"/>
    <w:rsid w:val="002328CA"/>
    <w:rsid w:val="00233B43"/>
    <w:rsid w:val="00233E10"/>
    <w:rsid w:val="0023468D"/>
    <w:rsid w:val="002349D7"/>
    <w:rsid w:val="00235CA3"/>
    <w:rsid w:val="00236319"/>
    <w:rsid w:val="00237A23"/>
    <w:rsid w:val="00240432"/>
    <w:rsid w:val="00240F92"/>
    <w:rsid w:val="00242308"/>
    <w:rsid w:val="00242F87"/>
    <w:rsid w:val="00243A39"/>
    <w:rsid w:val="00243E50"/>
    <w:rsid w:val="0024419A"/>
    <w:rsid w:val="0024476A"/>
    <w:rsid w:val="00245466"/>
    <w:rsid w:val="002459A8"/>
    <w:rsid w:val="002459DA"/>
    <w:rsid w:val="0024640F"/>
    <w:rsid w:val="00246852"/>
    <w:rsid w:val="00246B3E"/>
    <w:rsid w:val="00250F60"/>
    <w:rsid w:val="0025191D"/>
    <w:rsid w:val="00251CDA"/>
    <w:rsid w:val="002533BD"/>
    <w:rsid w:val="002533E9"/>
    <w:rsid w:val="00253AD0"/>
    <w:rsid w:val="002548A3"/>
    <w:rsid w:val="00255779"/>
    <w:rsid w:val="00256871"/>
    <w:rsid w:val="00256883"/>
    <w:rsid w:val="002578BE"/>
    <w:rsid w:val="00257F55"/>
    <w:rsid w:val="00260271"/>
    <w:rsid w:val="00260A7E"/>
    <w:rsid w:val="00260CC5"/>
    <w:rsid w:val="00260E16"/>
    <w:rsid w:val="002618B8"/>
    <w:rsid w:val="002619B7"/>
    <w:rsid w:val="00261D33"/>
    <w:rsid w:val="00261F24"/>
    <w:rsid w:val="00262622"/>
    <w:rsid w:val="002626C4"/>
    <w:rsid w:val="002639DA"/>
    <w:rsid w:val="002654EC"/>
    <w:rsid w:val="002656DF"/>
    <w:rsid w:val="0026583E"/>
    <w:rsid w:val="0026611F"/>
    <w:rsid w:val="002662EF"/>
    <w:rsid w:val="00266748"/>
    <w:rsid w:val="00266A6B"/>
    <w:rsid w:val="00267145"/>
    <w:rsid w:val="00267521"/>
    <w:rsid w:val="002679D2"/>
    <w:rsid w:val="00267CAD"/>
    <w:rsid w:val="00270081"/>
    <w:rsid w:val="00270180"/>
    <w:rsid w:val="00270CC6"/>
    <w:rsid w:val="00271178"/>
    <w:rsid w:val="00271932"/>
    <w:rsid w:val="00271B22"/>
    <w:rsid w:val="002720DD"/>
    <w:rsid w:val="002720F7"/>
    <w:rsid w:val="00272656"/>
    <w:rsid w:val="002727D0"/>
    <w:rsid w:val="0027285F"/>
    <w:rsid w:val="00273DC5"/>
    <w:rsid w:val="0027423A"/>
    <w:rsid w:val="00274442"/>
    <w:rsid w:val="00274A79"/>
    <w:rsid w:val="00274B6F"/>
    <w:rsid w:val="00275C67"/>
    <w:rsid w:val="002763F4"/>
    <w:rsid w:val="002765A6"/>
    <w:rsid w:val="00276CD5"/>
    <w:rsid w:val="00276D6D"/>
    <w:rsid w:val="00280379"/>
    <w:rsid w:val="0028080E"/>
    <w:rsid w:val="00280E9D"/>
    <w:rsid w:val="00281AC7"/>
    <w:rsid w:val="00281DCA"/>
    <w:rsid w:val="00283AF9"/>
    <w:rsid w:val="00283B8F"/>
    <w:rsid w:val="002840FC"/>
    <w:rsid w:val="002842A1"/>
    <w:rsid w:val="00284F1D"/>
    <w:rsid w:val="00284FD6"/>
    <w:rsid w:val="00285216"/>
    <w:rsid w:val="0028609D"/>
    <w:rsid w:val="002860D7"/>
    <w:rsid w:val="00286389"/>
    <w:rsid w:val="002863DF"/>
    <w:rsid w:val="002867E6"/>
    <w:rsid w:val="00286ECA"/>
    <w:rsid w:val="00290379"/>
    <w:rsid w:val="00290B1A"/>
    <w:rsid w:val="00290E1B"/>
    <w:rsid w:val="0029154F"/>
    <w:rsid w:val="00291611"/>
    <w:rsid w:val="002925AD"/>
    <w:rsid w:val="0029289A"/>
    <w:rsid w:val="00293A85"/>
    <w:rsid w:val="00294243"/>
    <w:rsid w:val="002965A1"/>
    <w:rsid w:val="00296616"/>
    <w:rsid w:val="00296963"/>
    <w:rsid w:val="0029748E"/>
    <w:rsid w:val="0029797A"/>
    <w:rsid w:val="00297F38"/>
    <w:rsid w:val="002A01C4"/>
    <w:rsid w:val="002A029A"/>
    <w:rsid w:val="002A12DF"/>
    <w:rsid w:val="002A1BBA"/>
    <w:rsid w:val="002A24F8"/>
    <w:rsid w:val="002A29E4"/>
    <w:rsid w:val="002A2B70"/>
    <w:rsid w:val="002A33C6"/>
    <w:rsid w:val="002A3561"/>
    <w:rsid w:val="002A4159"/>
    <w:rsid w:val="002A44F0"/>
    <w:rsid w:val="002A4F88"/>
    <w:rsid w:val="002A5ACA"/>
    <w:rsid w:val="002A5D0F"/>
    <w:rsid w:val="002A608D"/>
    <w:rsid w:val="002A6B86"/>
    <w:rsid w:val="002A7082"/>
    <w:rsid w:val="002A7089"/>
    <w:rsid w:val="002A72E8"/>
    <w:rsid w:val="002A77E8"/>
    <w:rsid w:val="002B04B2"/>
    <w:rsid w:val="002B1145"/>
    <w:rsid w:val="002B2174"/>
    <w:rsid w:val="002B243D"/>
    <w:rsid w:val="002B2510"/>
    <w:rsid w:val="002B275B"/>
    <w:rsid w:val="002B29C6"/>
    <w:rsid w:val="002B2C24"/>
    <w:rsid w:val="002B2D4A"/>
    <w:rsid w:val="002B2F35"/>
    <w:rsid w:val="002B34CD"/>
    <w:rsid w:val="002B36D3"/>
    <w:rsid w:val="002B3850"/>
    <w:rsid w:val="002B51AF"/>
    <w:rsid w:val="002B544E"/>
    <w:rsid w:val="002B5D85"/>
    <w:rsid w:val="002B6679"/>
    <w:rsid w:val="002B6B07"/>
    <w:rsid w:val="002B6C23"/>
    <w:rsid w:val="002B7BE6"/>
    <w:rsid w:val="002C0850"/>
    <w:rsid w:val="002C0ABA"/>
    <w:rsid w:val="002C0B3B"/>
    <w:rsid w:val="002C0E60"/>
    <w:rsid w:val="002C1779"/>
    <w:rsid w:val="002C1C62"/>
    <w:rsid w:val="002C3BD7"/>
    <w:rsid w:val="002C3F94"/>
    <w:rsid w:val="002C44A0"/>
    <w:rsid w:val="002C49A1"/>
    <w:rsid w:val="002C4D6E"/>
    <w:rsid w:val="002C54A0"/>
    <w:rsid w:val="002C61D2"/>
    <w:rsid w:val="002C7821"/>
    <w:rsid w:val="002D029C"/>
    <w:rsid w:val="002D0B11"/>
    <w:rsid w:val="002D120B"/>
    <w:rsid w:val="002D17A0"/>
    <w:rsid w:val="002D1AC4"/>
    <w:rsid w:val="002D1BE0"/>
    <w:rsid w:val="002D1F8A"/>
    <w:rsid w:val="002D221C"/>
    <w:rsid w:val="002D247E"/>
    <w:rsid w:val="002D28F1"/>
    <w:rsid w:val="002D29CD"/>
    <w:rsid w:val="002D333F"/>
    <w:rsid w:val="002D3670"/>
    <w:rsid w:val="002D4100"/>
    <w:rsid w:val="002D4900"/>
    <w:rsid w:val="002D4EE8"/>
    <w:rsid w:val="002D5005"/>
    <w:rsid w:val="002D50F9"/>
    <w:rsid w:val="002D5DB9"/>
    <w:rsid w:val="002D6428"/>
    <w:rsid w:val="002D64C5"/>
    <w:rsid w:val="002D70A0"/>
    <w:rsid w:val="002D7105"/>
    <w:rsid w:val="002D7619"/>
    <w:rsid w:val="002D79D0"/>
    <w:rsid w:val="002D7E66"/>
    <w:rsid w:val="002E01BB"/>
    <w:rsid w:val="002E0387"/>
    <w:rsid w:val="002E094E"/>
    <w:rsid w:val="002E09E8"/>
    <w:rsid w:val="002E11AE"/>
    <w:rsid w:val="002E127B"/>
    <w:rsid w:val="002E1ED3"/>
    <w:rsid w:val="002E2757"/>
    <w:rsid w:val="002E30D5"/>
    <w:rsid w:val="002E3D17"/>
    <w:rsid w:val="002E3D5A"/>
    <w:rsid w:val="002E3FCB"/>
    <w:rsid w:val="002E42AE"/>
    <w:rsid w:val="002E45AA"/>
    <w:rsid w:val="002E4B8C"/>
    <w:rsid w:val="002E53E7"/>
    <w:rsid w:val="002E55FE"/>
    <w:rsid w:val="002E5DEE"/>
    <w:rsid w:val="002E5F83"/>
    <w:rsid w:val="002E632D"/>
    <w:rsid w:val="002E69E5"/>
    <w:rsid w:val="002E724E"/>
    <w:rsid w:val="002E75AE"/>
    <w:rsid w:val="002E78AF"/>
    <w:rsid w:val="002F0490"/>
    <w:rsid w:val="002F04DF"/>
    <w:rsid w:val="002F1053"/>
    <w:rsid w:val="002F138A"/>
    <w:rsid w:val="002F1D28"/>
    <w:rsid w:val="002F41BA"/>
    <w:rsid w:val="002F42CB"/>
    <w:rsid w:val="002F4BC0"/>
    <w:rsid w:val="002F5E4B"/>
    <w:rsid w:val="002F74C1"/>
    <w:rsid w:val="002F7786"/>
    <w:rsid w:val="00300D8E"/>
    <w:rsid w:val="00302145"/>
    <w:rsid w:val="003024A9"/>
    <w:rsid w:val="00302574"/>
    <w:rsid w:val="0030292A"/>
    <w:rsid w:val="003031EE"/>
    <w:rsid w:val="003034A3"/>
    <w:rsid w:val="00304EB4"/>
    <w:rsid w:val="00305046"/>
    <w:rsid w:val="00305EB2"/>
    <w:rsid w:val="0030609E"/>
    <w:rsid w:val="003071D9"/>
    <w:rsid w:val="003073F1"/>
    <w:rsid w:val="00307CA8"/>
    <w:rsid w:val="00307FCB"/>
    <w:rsid w:val="00310023"/>
    <w:rsid w:val="00310522"/>
    <w:rsid w:val="00310E85"/>
    <w:rsid w:val="00311408"/>
    <w:rsid w:val="003119E0"/>
    <w:rsid w:val="0031206B"/>
    <w:rsid w:val="00313792"/>
    <w:rsid w:val="00313B36"/>
    <w:rsid w:val="00313BE9"/>
    <w:rsid w:val="0031425C"/>
    <w:rsid w:val="00314521"/>
    <w:rsid w:val="003145A7"/>
    <w:rsid w:val="00315160"/>
    <w:rsid w:val="00315494"/>
    <w:rsid w:val="00315BB5"/>
    <w:rsid w:val="0031610C"/>
    <w:rsid w:val="00316B57"/>
    <w:rsid w:val="00317898"/>
    <w:rsid w:val="00317A35"/>
    <w:rsid w:val="00320336"/>
    <w:rsid w:val="003205D2"/>
    <w:rsid w:val="00321566"/>
    <w:rsid w:val="003216AA"/>
    <w:rsid w:val="00321998"/>
    <w:rsid w:val="003223A2"/>
    <w:rsid w:val="003223A5"/>
    <w:rsid w:val="0032251E"/>
    <w:rsid w:val="00322737"/>
    <w:rsid w:val="003233B7"/>
    <w:rsid w:val="00324208"/>
    <w:rsid w:val="00324408"/>
    <w:rsid w:val="00325390"/>
    <w:rsid w:val="00326866"/>
    <w:rsid w:val="0032700D"/>
    <w:rsid w:val="00327EF2"/>
    <w:rsid w:val="0033078C"/>
    <w:rsid w:val="00330E34"/>
    <w:rsid w:val="00331688"/>
    <w:rsid w:val="00331A2F"/>
    <w:rsid w:val="00331C46"/>
    <w:rsid w:val="003329B4"/>
    <w:rsid w:val="003333F3"/>
    <w:rsid w:val="0033359C"/>
    <w:rsid w:val="0033401A"/>
    <w:rsid w:val="003343D3"/>
    <w:rsid w:val="0033482C"/>
    <w:rsid w:val="003352FE"/>
    <w:rsid w:val="0033531C"/>
    <w:rsid w:val="00335952"/>
    <w:rsid w:val="00336197"/>
    <w:rsid w:val="003361F8"/>
    <w:rsid w:val="00336238"/>
    <w:rsid w:val="003369FA"/>
    <w:rsid w:val="00336C82"/>
    <w:rsid w:val="00337910"/>
    <w:rsid w:val="003401FC"/>
    <w:rsid w:val="003402A6"/>
    <w:rsid w:val="003404F3"/>
    <w:rsid w:val="0034081D"/>
    <w:rsid w:val="00341B62"/>
    <w:rsid w:val="00341C9D"/>
    <w:rsid w:val="00341F46"/>
    <w:rsid w:val="00342456"/>
    <w:rsid w:val="003431D6"/>
    <w:rsid w:val="003441D2"/>
    <w:rsid w:val="0034495F"/>
    <w:rsid w:val="00344E59"/>
    <w:rsid w:val="0034599F"/>
    <w:rsid w:val="00345C01"/>
    <w:rsid w:val="003463C2"/>
    <w:rsid w:val="00346574"/>
    <w:rsid w:val="00347311"/>
    <w:rsid w:val="003475D8"/>
    <w:rsid w:val="00350449"/>
    <w:rsid w:val="0035052C"/>
    <w:rsid w:val="0035107C"/>
    <w:rsid w:val="003515E2"/>
    <w:rsid w:val="00351BD4"/>
    <w:rsid w:val="00351BFE"/>
    <w:rsid w:val="00352456"/>
    <w:rsid w:val="00352971"/>
    <w:rsid w:val="00352D3A"/>
    <w:rsid w:val="00352E76"/>
    <w:rsid w:val="0035318E"/>
    <w:rsid w:val="003540DA"/>
    <w:rsid w:val="0035539C"/>
    <w:rsid w:val="003556D3"/>
    <w:rsid w:val="00355746"/>
    <w:rsid w:val="00355FF5"/>
    <w:rsid w:val="0035617F"/>
    <w:rsid w:val="00357942"/>
    <w:rsid w:val="00357CF6"/>
    <w:rsid w:val="0036029F"/>
    <w:rsid w:val="0036106F"/>
    <w:rsid w:val="003612C1"/>
    <w:rsid w:val="00361726"/>
    <w:rsid w:val="003617B3"/>
    <w:rsid w:val="00361ADF"/>
    <w:rsid w:val="00361F43"/>
    <w:rsid w:val="003624FA"/>
    <w:rsid w:val="003629EE"/>
    <w:rsid w:val="00362DCB"/>
    <w:rsid w:val="00363073"/>
    <w:rsid w:val="00364CEA"/>
    <w:rsid w:val="00366398"/>
    <w:rsid w:val="00366B0D"/>
    <w:rsid w:val="0036739A"/>
    <w:rsid w:val="003674CA"/>
    <w:rsid w:val="003677D7"/>
    <w:rsid w:val="00367ABF"/>
    <w:rsid w:val="0037045B"/>
    <w:rsid w:val="00371950"/>
    <w:rsid w:val="003723AF"/>
    <w:rsid w:val="003727D4"/>
    <w:rsid w:val="0037362D"/>
    <w:rsid w:val="003739B9"/>
    <w:rsid w:val="00373B25"/>
    <w:rsid w:val="00373F12"/>
    <w:rsid w:val="003741E4"/>
    <w:rsid w:val="00374303"/>
    <w:rsid w:val="003746A9"/>
    <w:rsid w:val="00374BAC"/>
    <w:rsid w:val="00374E1A"/>
    <w:rsid w:val="00375591"/>
    <w:rsid w:val="00375AB1"/>
    <w:rsid w:val="0037613F"/>
    <w:rsid w:val="00376335"/>
    <w:rsid w:val="003768F0"/>
    <w:rsid w:val="0037743F"/>
    <w:rsid w:val="00380926"/>
    <w:rsid w:val="00380A45"/>
    <w:rsid w:val="00380C12"/>
    <w:rsid w:val="00380C33"/>
    <w:rsid w:val="0038108F"/>
    <w:rsid w:val="00381135"/>
    <w:rsid w:val="003818B0"/>
    <w:rsid w:val="003821B1"/>
    <w:rsid w:val="00382600"/>
    <w:rsid w:val="003827E4"/>
    <w:rsid w:val="00382F8C"/>
    <w:rsid w:val="00383962"/>
    <w:rsid w:val="00384964"/>
    <w:rsid w:val="00384B59"/>
    <w:rsid w:val="00385F67"/>
    <w:rsid w:val="00386067"/>
    <w:rsid w:val="003867AE"/>
    <w:rsid w:val="003867B2"/>
    <w:rsid w:val="00390388"/>
    <w:rsid w:val="00390404"/>
    <w:rsid w:val="0039051D"/>
    <w:rsid w:val="00390859"/>
    <w:rsid w:val="00391CDA"/>
    <w:rsid w:val="00391D72"/>
    <w:rsid w:val="00392713"/>
    <w:rsid w:val="00393A2E"/>
    <w:rsid w:val="00395051"/>
    <w:rsid w:val="0039592D"/>
    <w:rsid w:val="003960A7"/>
    <w:rsid w:val="00396518"/>
    <w:rsid w:val="00396EEE"/>
    <w:rsid w:val="00397DC5"/>
    <w:rsid w:val="003A0C68"/>
    <w:rsid w:val="003A1847"/>
    <w:rsid w:val="003A1AFF"/>
    <w:rsid w:val="003A1BB4"/>
    <w:rsid w:val="003A1DCF"/>
    <w:rsid w:val="003A1F7A"/>
    <w:rsid w:val="003A29F9"/>
    <w:rsid w:val="003A3237"/>
    <w:rsid w:val="003A425C"/>
    <w:rsid w:val="003A58FD"/>
    <w:rsid w:val="003A742A"/>
    <w:rsid w:val="003A7DF0"/>
    <w:rsid w:val="003A7EEC"/>
    <w:rsid w:val="003B06EF"/>
    <w:rsid w:val="003B0720"/>
    <w:rsid w:val="003B1161"/>
    <w:rsid w:val="003B1578"/>
    <w:rsid w:val="003B1AB8"/>
    <w:rsid w:val="003B2058"/>
    <w:rsid w:val="003B36F4"/>
    <w:rsid w:val="003B3DD4"/>
    <w:rsid w:val="003B4CDD"/>
    <w:rsid w:val="003B5ABE"/>
    <w:rsid w:val="003B6027"/>
    <w:rsid w:val="003B6573"/>
    <w:rsid w:val="003B7A31"/>
    <w:rsid w:val="003C0AF0"/>
    <w:rsid w:val="003C0B7A"/>
    <w:rsid w:val="003C182A"/>
    <w:rsid w:val="003C1EB5"/>
    <w:rsid w:val="003C2017"/>
    <w:rsid w:val="003C2215"/>
    <w:rsid w:val="003C25C4"/>
    <w:rsid w:val="003C2684"/>
    <w:rsid w:val="003C4F52"/>
    <w:rsid w:val="003C54E7"/>
    <w:rsid w:val="003C5A4D"/>
    <w:rsid w:val="003C6336"/>
    <w:rsid w:val="003C6CBA"/>
    <w:rsid w:val="003C6CF7"/>
    <w:rsid w:val="003C7034"/>
    <w:rsid w:val="003C7A3E"/>
    <w:rsid w:val="003C7D28"/>
    <w:rsid w:val="003D07E1"/>
    <w:rsid w:val="003D10B7"/>
    <w:rsid w:val="003D1326"/>
    <w:rsid w:val="003D1540"/>
    <w:rsid w:val="003D2526"/>
    <w:rsid w:val="003D26DE"/>
    <w:rsid w:val="003D2784"/>
    <w:rsid w:val="003D3566"/>
    <w:rsid w:val="003D4014"/>
    <w:rsid w:val="003D45FF"/>
    <w:rsid w:val="003D48B6"/>
    <w:rsid w:val="003D4AE8"/>
    <w:rsid w:val="003D4EC6"/>
    <w:rsid w:val="003D5740"/>
    <w:rsid w:val="003D77BA"/>
    <w:rsid w:val="003E03DA"/>
    <w:rsid w:val="003E0A54"/>
    <w:rsid w:val="003E1119"/>
    <w:rsid w:val="003E1577"/>
    <w:rsid w:val="003E178A"/>
    <w:rsid w:val="003E17C8"/>
    <w:rsid w:val="003E1E4F"/>
    <w:rsid w:val="003E206D"/>
    <w:rsid w:val="003E31B1"/>
    <w:rsid w:val="003E3202"/>
    <w:rsid w:val="003E3643"/>
    <w:rsid w:val="003E3FB0"/>
    <w:rsid w:val="003E47DF"/>
    <w:rsid w:val="003E4894"/>
    <w:rsid w:val="003E619F"/>
    <w:rsid w:val="003E6431"/>
    <w:rsid w:val="003E6763"/>
    <w:rsid w:val="003E6F51"/>
    <w:rsid w:val="003E7255"/>
    <w:rsid w:val="003E73B5"/>
    <w:rsid w:val="003F06BF"/>
    <w:rsid w:val="003F08A9"/>
    <w:rsid w:val="003F1480"/>
    <w:rsid w:val="003F1913"/>
    <w:rsid w:val="003F2892"/>
    <w:rsid w:val="003F28D0"/>
    <w:rsid w:val="003F2EBB"/>
    <w:rsid w:val="003F3742"/>
    <w:rsid w:val="003F3B10"/>
    <w:rsid w:val="003F438A"/>
    <w:rsid w:val="003F4590"/>
    <w:rsid w:val="003F4D5F"/>
    <w:rsid w:val="003F531D"/>
    <w:rsid w:val="003F575B"/>
    <w:rsid w:val="003F66AA"/>
    <w:rsid w:val="003F6DC6"/>
    <w:rsid w:val="003F72BC"/>
    <w:rsid w:val="003F79CB"/>
    <w:rsid w:val="004003A6"/>
    <w:rsid w:val="0040057A"/>
    <w:rsid w:val="004007CA"/>
    <w:rsid w:val="00400B0D"/>
    <w:rsid w:val="00401284"/>
    <w:rsid w:val="00401456"/>
    <w:rsid w:val="00401A6E"/>
    <w:rsid w:val="00401D17"/>
    <w:rsid w:val="00402A1B"/>
    <w:rsid w:val="004035CD"/>
    <w:rsid w:val="00403A4E"/>
    <w:rsid w:val="00403E80"/>
    <w:rsid w:val="00403E8C"/>
    <w:rsid w:val="00404207"/>
    <w:rsid w:val="004056DE"/>
    <w:rsid w:val="00405D6B"/>
    <w:rsid w:val="00405F1C"/>
    <w:rsid w:val="00405F4F"/>
    <w:rsid w:val="0040606D"/>
    <w:rsid w:val="00406B86"/>
    <w:rsid w:val="00406CBB"/>
    <w:rsid w:val="00407E39"/>
    <w:rsid w:val="004106B8"/>
    <w:rsid w:val="00411462"/>
    <w:rsid w:val="004114AC"/>
    <w:rsid w:val="004116E8"/>
    <w:rsid w:val="004117B7"/>
    <w:rsid w:val="0041184C"/>
    <w:rsid w:val="00412B66"/>
    <w:rsid w:val="00412ED1"/>
    <w:rsid w:val="00413AD0"/>
    <w:rsid w:val="00413B5A"/>
    <w:rsid w:val="004154D7"/>
    <w:rsid w:val="00415BD2"/>
    <w:rsid w:val="00415D5A"/>
    <w:rsid w:val="00415DD2"/>
    <w:rsid w:val="00415FA5"/>
    <w:rsid w:val="0041692C"/>
    <w:rsid w:val="00416C60"/>
    <w:rsid w:val="0041714A"/>
    <w:rsid w:val="0041784B"/>
    <w:rsid w:val="00417931"/>
    <w:rsid w:val="004208BB"/>
    <w:rsid w:val="00420A4A"/>
    <w:rsid w:val="00421C7E"/>
    <w:rsid w:val="00421EA6"/>
    <w:rsid w:val="00423205"/>
    <w:rsid w:val="004233E2"/>
    <w:rsid w:val="004236FC"/>
    <w:rsid w:val="004237F0"/>
    <w:rsid w:val="00424239"/>
    <w:rsid w:val="004244F1"/>
    <w:rsid w:val="0042525E"/>
    <w:rsid w:val="004264D6"/>
    <w:rsid w:val="00426782"/>
    <w:rsid w:val="00426992"/>
    <w:rsid w:val="0042750C"/>
    <w:rsid w:val="0042789A"/>
    <w:rsid w:val="00430EAA"/>
    <w:rsid w:val="00431561"/>
    <w:rsid w:val="00431690"/>
    <w:rsid w:val="00431869"/>
    <w:rsid w:val="00433E83"/>
    <w:rsid w:val="0043468C"/>
    <w:rsid w:val="00435408"/>
    <w:rsid w:val="004359DF"/>
    <w:rsid w:val="00435D6C"/>
    <w:rsid w:val="00436131"/>
    <w:rsid w:val="004367B9"/>
    <w:rsid w:val="00436A6F"/>
    <w:rsid w:val="00437123"/>
    <w:rsid w:val="004373BB"/>
    <w:rsid w:val="004374B1"/>
    <w:rsid w:val="004374D0"/>
    <w:rsid w:val="00437632"/>
    <w:rsid w:val="00440544"/>
    <w:rsid w:val="00441E3B"/>
    <w:rsid w:val="00443D59"/>
    <w:rsid w:val="00444339"/>
    <w:rsid w:val="00444D92"/>
    <w:rsid w:val="0044542B"/>
    <w:rsid w:val="00446158"/>
    <w:rsid w:val="00446344"/>
    <w:rsid w:val="00446D91"/>
    <w:rsid w:val="00446F03"/>
    <w:rsid w:val="0044705E"/>
    <w:rsid w:val="00447E1A"/>
    <w:rsid w:val="00450151"/>
    <w:rsid w:val="004514B4"/>
    <w:rsid w:val="004515E8"/>
    <w:rsid w:val="00452516"/>
    <w:rsid w:val="00452624"/>
    <w:rsid w:val="004527D0"/>
    <w:rsid w:val="004530DA"/>
    <w:rsid w:val="0045361E"/>
    <w:rsid w:val="004542A3"/>
    <w:rsid w:val="00454C98"/>
    <w:rsid w:val="00454E93"/>
    <w:rsid w:val="00455F73"/>
    <w:rsid w:val="0045601A"/>
    <w:rsid w:val="0045639E"/>
    <w:rsid w:val="00456A84"/>
    <w:rsid w:val="00456B5B"/>
    <w:rsid w:val="00457B74"/>
    <w:rsid w:val="00460DA3"/>
    <w:rsid w:val="0046175F"/>
    <w:rsid w:val="00461E37"/>
    <w:rsid w:val="00462C3D"/>
    <w:rsid w:val="00462CC5"/>
    <w:rsid w:val="00462DA5"/>
    <w:rsid w:val="00463136"/>
    <w:rsid w:val="00463C13"/>
    <w:rsid w:val="0046463C"/>
    <w:rsid w:val="0046489B"/>
    <w:rsid w:val="00465233"/>
    <w:rsid w:val="004663EA"/>
    <w:rsid w:val="00466802"/>
    <w:rsid w:val="004668C1"/>
    <w:rsid w:val="00466F35"/>
    <w:rsid w:val="00467688"/>
    <w:rsid w:val="00470B4E"/>
    <w:rsid w:val="00470C1F"/>
    <w:rsid w:val="00471101"/>
    <w:rsid w:val="0047150C"/>
    <w:rsid w:val="00471E76"/>
    <w:rsid w:val="00472690"/>
    <w:rsid w:val="0047373F"/>
    <w:rsid w:val="00473A80"/>
    <w:rsid w:val="00473BC7"/>
    <w:rsid w:val="00473BF9"/>
    <w:rsid w:val="00473D49"/>
    <w:rsid w:val="0047432D"/>
    <w:rsid w:val="0047563F"/>
    <w:rsid w:val="0047605B"/>
    <w:rsid w:val="00476FB3"/>
    <w:rsid w:val="0048024E"/>
    <w:rsid w:val="00480BC4"/>
    <w:rsid w:val="00480F1D"/>
    <w:rsid w:val="004818FE"/>
    <w:rsid w:val="00481925"/>
    <w:rsid w:val="00481C4D"/>
    <w:rsid w:val="00482B2E"/>
    <w:rsid w:val="004837E3"/>
    <w:rsid w:val="00483966"/>
    <w:rsid w:val="00483C37"/>
    <w:rsid w:val="004841DA"/>
    <w:rsid w:val="0048463E"/>
    <w:rsid w:val="0048488A"/>
    <w:rsid w:val="00484891"/>
    <w:rsid w:val="00484E32"/>
    <w:rsid w:val="0048626A"/>
    <w:rsid w:val="00486486"/>
    <w:rsid w:val="004875C4"/>
    <w:rsid w:val="00487C48"/>
    <w:rsid w:val="00487D85"/>
    <w:rsid w:val="00487E08"/>
    <w:rsid w:val="00491050"/>
    <w:rsid w:val="0049143C"/>
    <w:rsid w:val="004917E4"/>
    <w:rsid w:val="0049192B"/>
    <w:rsid w:val="004919B2"/>
    <w:rsid w:val="004924EC"/>
    <w:rsid w:val="004926A0"/>
    <w:rsid w:val="00492B33"/>
    <w:rsid w:val="00492DC4"/>
    <w:rsid w:val="0049359B"/>
    <w:rsid w:val="00493666"/>
    <w:rsid w:val="00494E2C"/>
    <w:rsid w:val="00495844"/>
    <w:rsid w:val="00495EC5"/>
    <w:rsid w:val="00497671"/>
    <w:rsid w:val="004A0204"/>
    <w:rsid w:val="004A04C4"/>
    <w:rsid w:val="004A0AB3"/>
    <w:rsid w:val="004A1155"/>
    <w:rsid w:val="004A154B"/>
    <w:rsid w:val="004A1B01"/>
    <w:rsid w:val="004A1B6B"/>
    <w:rsid w:val="004A2990"/>
    <w:rsid w:val="004A2B58"/>
    <w:rsid w:val="004A33DF"/>
    <w:rsid w:val="004A3414"/>
    <w:rsid w:val="004A3F1B"/>
    <w:rsid w:val="004A4094"/>
    <w:rsid w:val="004A62C0"/>
    <w:rsid w:val="004A62F7"/>
    <w:rsid w:val="004A63C0"/>
    <w:rsid w:val="004A7607"/>
    <w:rsid w:val="004A7714"/>
    <w:rsid w:val="004A77B3"/>
    <w:rsid w:val="004A77CD"/>
    <w:rsid w:val="004A78E3"/>
    <w:rsid w:val="004B0108"/>
    <w:rsid w:val="004B016C"/>
    <w:rsid w:val="004B088D"/>
    <w:rsid w:val="004B08FD"/>
    <w:rsid w:val="004B0CFE"/>
    <w:rsid w:val="004B0DBD"/>
    <w:rsid w:val="004B1F0C"/>
    <w:rsid w:val="004B2979"/>
    <w:rsid w:val="004B2BFD"/>
    <w:rsid w:val="004B3357"/>
    <w:rsid w:val="004B3A40"/>
    <w:rsid w:val="004B3FDA"/>
    <w:rsid w:val="004B44F4"/>
    <w:rsid w:val="004B536F"/>
    <w:rsid w:val="004B5562"/>
    <w:rsid w:val="004B5B5A"/>
    <w:rsid w:val="004B5B68"/>
    <w:rsid w:val="004B5C22"/>
    <w:rsid w:val="004B6147"/>
    <w:rsid w:val="004B73DB"/>
    <w:rsid w:val="004B7804"/>
    <w:rsid w:val="004C07BC"/>
    <w:rsid w:val="004C092F"/>
    <w:rsid w:val="004C1107"/>
    <w:rsid w:val="004C1815"/>
    <w:rsid w:val="004C1D13"/>
    <w:rsid w:val="004C2A5F"/>
    <w:rsid w:val="004C2B1C"/>
    <w:rsid w:val="004C322B"/>
    <w:rsid w:val="004C3F96"/>
    <w:rsid w:val="004C4797"/>
    <w:rsid w:val="004C5461"/>
    <w:rsid w:val="004C65CE"/>
    <w:rsid w:val="004C6A8D"/>
    <w:rsid w:val="004C6BE0"/>
    <w:rsid w:val="004D03A3"/>
    <w:rsid w:val="004D05A7"/>
    <w:rsid w:val="004D08EE"/>
    <w:rsid w:val="004D0F02"/>
    <w:rsid w:val="004D122A"/>
    <w:rsid w:val="004D1A71"/>
    <w:rsid w:val="004D1A77"/>
    <w:rsid w:val="004D1D47"/>
    <w:rsid w:val="004D2109"/>
    <w:rsid w:val="004D2A0D"/>
    <w:rsid w:val="004D35A6"/>
    <w:rsid w:val="004D3CCD"/>
    <w:rsid w:val="004D4144"/>
    <w:rsid w:val="004D6D4C"/>
    <w:rsid w:val="004D6EEF"/>
    <w:rsid w:val="004D7542"/>
    <w:rsid w:val="004D7546"/>
    <w:rsid w:val="004E020E"/>
    <w:rsid w:val="004E03D3"/>
    <w:rsid w:val="004E148D"/>
    <w:rsid w:val="004E2B8B"/>
    <w:rsid w:val="004E32F4"/>
    <w:rsid w:val="004E3FF4"/>
    <w:rsid w:val="004E44B6"/>
    <w:rsid w:val="004E4F85"/>
    <w:rsid w:val="004E5D1D"/>
    <w:rsid w:val="004E5F6A"/>
    <w:rsid w:val="004E60F2"/>
    <w:rsid w:val="004E68C5"/>
    <w:rsid w:val="004E736A"/>
    <w:rsid w:val="004E7B3D"/>
    <w:rsid w:val="004E7B47"/>
    <w:rsid w:val="004E7DF6"/>
    <w:rsid w:val="004F0235"/>
    <w:rsid w:val="004F1D95"/>
    <w:rsid w:val="004F1FE5"/>
    <w:rsid w:val="004F2012"/>
    <w:rsid w:val="004F2021"/>
    <w:rsid w:val="004F20C7"/>
    <w:rsid w:val="004F25CB"/>
    <w:rsid w:val="004F2D4D"/>
    <w:rsid w:val="004F2E6D"/>
    <w:rsid w:val="004F50A9"/>
    <w:rsid w:val="004F5760"/>
    <w:rsid w:val="004F5C3F"/>
    <w:rsid w:val="004F60AB"/>
    <w:rsid w:val="004F6662"/>
    <w:rsid w:val="004F689C"/>
    <w:rsid w:val="004F6E9E"/>
    <w:rsid w:val="004F7523"/>
    <w:rsid w:val="004F79A8"/>
    <w:rsid w:val="004F7B23"/>
    <w:rsid w:val="004F7C5A"/>
    <w:rsid w:val="005002F3"/>
    <w:rsid w:val="0050042B"/>
    <w:rsid w:val="005006FD"/>
    <w:rsid w:val="005007B0"/>
    <w:rsid w:val="00500950"/>
    <w:rsid w:val="00501D05"/>
    <w:rsid w:val="005024CE"/>
    <w:rsid w:val="00502CB3"/>
    <w:rsid w:val="00502ED4"/>
    <w:rsid w:val="005031BA"/>
    <w:rsid w:val="00503A04"/>
    <w:rsid w:val="0050423B"/>
    <w:rsid w:val="00505302"/>
    <w:rsid w:val="005058F1"/>
    <w:rsid w:val="00505A52"/>
    <w:rsid w:val="00506741"/>
    <w:rsid w:val="0050710A"/>
    <w:rsid w:val="005075E4"/>
    <w:rsid w:val="00507709"/>
    <w:rsid w:val="00507ED5"/>
    <w:rsid w:val="0051008E"/>
    <w:rsid w:val="0051020E"/>
    <w:rsid w:val="005108DE"/>
    <w:rsid w:val="00510C4F"/>
    <w:rsid w:val="00510E2E"/>
    <w:rsid w:val="00511815"/>
    <w:rsid w:val="0051198F"/>
    <w:rsid w:val="00511FFC"/>
    <w:rsid w:val="005128AA"/>
    <w:rsid w:val="00512AA4"/>
    <w:rsid w:val="00512B26"/>
    <w:rsid w:val="00513338"/>
    <w:rsid w:val="005135D3"/>
    <w:rsid w:val="005136FE"/>
    <w:rsid w:val="00514292"/>
    <w:rsid w:val="00514CA3"/>
    <w:rsid w:val="00515078"/>
    <w:rsid w:val="005164D6"/>
    <w:rsid w:val="00517788"/>
    <w:rsid w:val="00517D7A"/>
    <w:rsid w:val="00517FCB"/>
    <w:rsid w:val="00520A94"/>
    <w:rsid w:val="00520CDF"/>
    <w:rsid w:val="005221EE"/>
    <w:rsid w:val="005227CA"/>
    <w:rsid w:val="00522DCF"/>
    <w:rsid w:val="00522F9D"/>
    <w:rsid w:val="00522FE0"/>
    <w:rsid w:val="005237D2"/>
    <w:rsid w:val="00523B4B"/>
    <w:rsid w:val="00523C60"/>
    <w:rsid w:val="00523CA6"/>
    <w:rsid w:val="00524166"/>
    <w:rsid w:val="00524DA4"/>
    <w:rsid w:val="00526018"/>
    <w:rsid w:val="00526197"/>
    <w:rsid w:val="005270A6"/>
    <w:rsid w:val="00527164"/>
    <w:rsid w:val="0052739B"/>
    <w:rsid w:val="0052748B"/>
    <w:rsid w:val="0052754A"/>
    <w:rsid w:val="0052779F"/>
    <w:rsid w:val="005278B5"/>
    <w:rsid w:val="00530245"/>
    <w:rsid w:val="005303B7"/>
    <w:rsid w:val="005308ED"/>
    <w:rsid w:val="00531CD9"/>
    <w:rsid w:val="0053297A"/>
    <w:rsid w:val="00532DF2"/>
    <w:rsid w:val="005339E3"/>
    <w:rsid w:val="00533C87"/>
    <w:rsid w:val="005360A6"/>
    <w:rsid w:val="00536131"/>
    <w:rsid w:val="00536199"/>
    <w:rsid w:val="00536A6D"/>
    <w:rsid w:val="00536FC4"/>
    <w:rsid w:val="005371E9"/>
    <w:rsid w:val="00537C96"/>
    <w:rsid w:val="00537D5F"/>
    <w:rsid w:val="00540249"/>
    <w:rsid w:val="005403F4"/>
    <w:rsid w:val="005409B7"/>
    <w:rsid w:val="00540B9C"/>
    <w:rsid w:val="00541352"/>
    <w:rsid w:val="00541357"/>
    <w:rsid w:val="00541AD4"/>
    <w:rsid w:val="0054364C"/>
    <w:rsid w:val="005440E1"/>
    <w:rsid w:val="005452F1"/>
    <w:rsid w:val="005455B0"/>
    <w:rsid w:val="00545E5B"/>
    <w:rsid w:val="00546A28"/>
    <w:rsid w:val="00546AD5"/>
    <w:rsid w:val="00547142"/>
    <w:rsid w:val="0054730D"/>
    <w:rsid w:val="00550B1A"/>
    <w:rsid w:val="00550E0C"/>
    <w:rsid w:val="005513F0"/>
    <w:rsid w:val="00551773"/>
    <w:rsid w:val="00551FC8"/>
    <w:rsid w:val="00552FAC"/>
    <w:rsid w:val="0055405F"/>
    <w:rsid w:val="0055546F"/>
    <w:rsid w:val="0055586A"/>
    <w:rsid w:val="005564F9"/>
    <w:rsid w:val="00556799"/>
    <w:rsid w:val="0056015B"/>
    <w:rsid w:val="0056069D"/>
    <w:rsid w:val="00561380"/>
    <w:rsid w:val="00561408"/>
    <w:rsid w:val="00561BFF"/>
    <w:rsid w:val="005628FD"/>
    <w:rsid w:val="00562AE1"/>
    <w:rsid w:val="005631A7"/>
    <w:rsid w:val="00563622"/>
    <w:rsid w:val="00564736"/>
    <w:rsid w:val="005657B9"/>
    <w:rsid w:val="00565E42"/>
    <w:rsid w:val="00566318"/>
    <w:rsid w:val="00566E90"/>
    <w:rsid w:val="00567018"/>
    <w:rsid w:val="005673DD"/>
    <w:rsid w:val="0057058C"/>
    <w:rsid w:val="0057066F"/>
    <w:rsid w:val="00570DB8"/>
    <w:rsid w:val="005724A3"/>
    <w:rsid w:val="005728DF"/>
    <w:rsid w:val="005731CF"/>
    <w:rsid w:val="00573AB0"/>
    <w:rsid w:val="00573F2A"/>
    <w:rsid w:val="00574030"/>
    <w:rsid w:val="00575FD0"/>
    <w:rsid w:val="00576027"/>
    <w:rsid w:val="00577B85"/>
    <w:rsid w:val="00577FBA"/>
    <w:rsid w:val="00577FF0"/>
    <w:rsid w:val="005807DC"/>
    <w:rsid w:val="00581469"/>
    <w:rsid w:val="00581CD6"/>
    <w:rsid w:val="00582863"/>
    <w:rsid w:val="00582B4E"/>
    <w:rsid w:val="00582CA7"/>
    <w:rsid w:val="005838EF"/>
    <w:rsid w:val="00583DBA"/>
    <w:rsid w:val="00583DFB"/>
    <w:rsid w:val="00584C88"/>
    <w:rsid w:val="005852D1"/>
    <w:rsid w:val="00585946"/>
    <w:rsid w:val="005861BF"/>
    <w:rsid w:val="00586695"/>
    <w:rsid w:val="00586743"/>
    <w:rsid w:val="00586E72"/>
    <w:rsid w:val="0058715B"/>
    <w:rsid w:val="00587410"/>
    <w:rsid w:val="005904C9"/>
    <w:rsid w:val="005906B8"/>
    <w:rsid w:val="00590EBB"/>
    <w:rsid w:val="00590FF0"/>
    <w:rsid w:val="00591BD6"/>
    <w:rsid w:val="005920C0"/>
    <w:rsid w:val="00592AAE"/>
    <w:rsid w:val="005932EC"/>
    <w:rsid w:val="005933A2"/>
    <w:rsid w:val="0059392E"/>
    <w:rsid w:val="00593AD0"/>
    <w:rsid w:val="0059478F"/>
    <w:rsid w:val="0059576C"/>
    <w:rsid w:val="00595AAE"/>
    <w:rsid w:val="00596B48"/>
    <w:rsid w:val="00596C85"/>
    <w:rsid w:val="005970EE"/>
    <w:rsid w:val="005A12AC"/>
    <w:rsid w:val="005A234F"/>
    <w:rsid w:val="005A24F2"/>
    <w:rsid w:val="005A2982"/>
    <w:rsid w:val="005A2ADD"/>
    <w:rsid w:val="005A2DDE"/>
    <w:rsid w:val="005A3A96"/>
    <w:rsid w:val="005A4979"/>
    <w:rsid w:val="005A4CD9"/>
    <w:rsid w:val="005A4F6C"/>
    <w:rsid w:val="005A5048"/>
    <w:rsid w:val="005A54D4"/>
    <w:rsid w:val="005A5D99"/>
    <w:rsid w:val="005A6092"/>
    <w:rsid w:val="005A6179"/>
    <w:rsid w:val="005A67AA"/>
    <w:rsid w:val="005A69A4"/>
    <w:rsid w:val="005A6E07"/>
    <w:rsid w:val="005A6F04"/>
    <w:rsid w:val="005A7625"/>
    <w:rsid w:val="005A7CD2"/>
    <w:rsid w:val="005A7E3A"/>
    <w:rsid w:val="005B059F"/>
    <w:rsid w:val="005B0866"/>
    <w:rsid w:val="005B209A"/>
    <w:rsid w:val="005B2153"/>
    <w:rsid w:val="005B2A51"/>
    <w:rsid w:val="005B3012"/>
    <w:rsid w:val="005B38FA"/>
    <w:rsid w:val="005B3B19"/>
    <w:rsid w:val="005B3BCB"/>
    <w:rsid w:val="005B3C29"/>
    <w:rsid w:val="005B42B5"/>
    <w:rsid w:val="005B4DD2"/>
    <w:rsid w:val="005B4F99"/>
    <w:rsid w:val="005B5F17"/>
    <w:rsid w:val="005B601F"/>
    <w:rsid w:val="005B6918"/>
    <w:rsid w:val="005B6F8A"/>
    <w:rsid w:val="005B759F"/>
    <w:rsid w:val="005B7ADE"/>
    <w:rsid w:val="005C0855"/>
    <w:rsid w:val="005C0C51"/>
    <w:rsid w:val="005C15C9"/>
    <w:rsid w:val="005C1621"/>
    <w:rsid w:val="005C25D2"/>
    <w:rsid w:val="005C3A42"/>
    <w:rsid w:val="005C3CB9"/>
    <w:rsid w:val="005C3D34"/>
    <w:rsid w:val="005C3D70"/>
    <w:rsid w:val="005C520C"/>
    <w:rsid w:val="005C5428"/>
    <w:rsid w:val="005C5A04"/>
    <w:rsid w:val="005C6710"/>
    <w:rsid w:val="005C70AB"/>
    <w:rsid w:val="005C7BA6"/>
    <w:rsid w:val="005C7DC3"/>
    <w:rsid w:val="005C7ED2"/>
    <w:rsid w:val="005D00C9"/>
    <w:rsid w:val="005D1C70"/>
    <w:rsid w:val="005D1EAC"/>
    <w:rsid w:val="005D2177"/>
    <w:rsid w:val="005D2472"/>
    <w:rsid w:val="005D2511"/>
    <w:rsid w:val="005D2ADE"/>
    <w:rsid w:val="005D2D86"/>
    <w:rsid w:val="005D2F2D"/>
    <w:rsid w:val="005D2F74"/>
    <w:rsid w:val="005D3934"/>
    <w:rsid w:val="005D3B4F"/>
    <w:rsid w:val="005D4007"/>
    <w:rsid w:val="005D407C"/>
    <w:rsid w:val="005D4522"/>
    <w:rsid w:val="005D481D"/>
    <w:rsid w:val="005D4AB9"/>
    <w:rsid w:val="005D4FB4"/>
    <w:rsid w:val="005D4FE4"/>
    <w:rsid w:val="005D57E4"/>
    <w:rsid w:val="005D6377"/>
    <w:rsid w:val="005D664A"/>
    <w:rsid w:val="005D66AE"/>
    <w:rsid w:val="005D7C2E"/>
    <w:rsid w:val="005D7C57"/>
    <w:rsid w:val="005E0171"/>
    <w:rsid w:val="005E0183"/>
    <w:rsid w:val="005E113A"/>
    <w:rsid w:val="005E14AA"/>
    <w:rsid w:val="005E2375"/>
    <w:rsid w:val="005E255F"/>
    <w:rsid w:val="005E37B2"/>
    <w:rsid w:val="005E3B0F"/>
    <w:rsid w:val="005E5924"/>
    <w:rsid w:val="005E5AD9"/>
    <w:rsid w:val="005E5BC4"/>
    <w:rsid w:val="005E5D15"/>
    <w:rsid w:val="005E6101"/>
    <w:rsid w:val="005E64FD"/>
    <w:rsid w:val="005E65D1"/>
    <w:rsid w:val="005E6BA4"/>
    <w:rsid w:val="005E7D53"/>
    <w:rsid w:val="005F19F0"/>
    <w:rsid w:val="005F3F4D"/>
    <w:rsid w:val="005F48A5"/>
    <w:rsid w:val="005F4A7D"/>
    <w:rsid w:val="005F51E3"/>
    <w:rsid w:val="005F5912"/>
    <w:rsid w:val="005F5BB2"/>
    <w:rsid w:val="005F6B6F"/>
    <w:rsid w:val="005F6BAD"/>
    <w:rsid w:val="005F796C"/>
    <w:rsid w:val="005F7BD8"/>
    <w:rsid w:val="005F7E42"/>
    <w:rsid w:val="006002F7"/>
    <w:rsid w:val="00600FF0"/>
    <w:rsid w:val="0060192D"/>
    <w:rsid w:val="00601AA8"/>
    <w:rsid w:val="0060262B"/>
    <w:rsid w:val="00603C6F"/>
    <w:rsid w:val="00604F56"/>
    <w:rsid w:val="00604F61"/>
    <w:rsid w:val="00605126"/>
    <w:rsid w:val="00606067"/>
    <w:rsid w:val="00606B9E"/>
    <w:rsid w:val="00606FCC"/>
    <w:rsid w:val="0060705A"/>
    <w:rsid w:val="00607060"/>
    <w:rsid w:val="0060745E"/>
    <w:rsid w:val="00611515"/>
    <w:rsid w:val="006115FC"/>
    <w:rsid w:val="00611D93"/>
    <w:rsid w:val="006125C5"/>
    <w:rsid w:val="00612B4A"/>
    <w:rsid w:val="0061383D"/>
    <w:rsid w:val="00613A66"/>
    <w:rsid w:val="00613FE8"/>
    <w:rsid w:val="00614802"/>
    <w:rsid w:val="006154A4"/>
    <w:rsid w:val="006158DA"/>
    <w:rsid w:val="00615D2E"/>
    <w:rsid w:val="00615E3E"/>
    <w:rsid w:val="0061635B"/>
    <w:rsid w:val="006173AC"/>
    <w:rsid w:val="00617C0A"/>
    <w:rsid w:val="00617C0B"/>
    <w:rsid w:val="00617EA2"/>
    <w:rsid w:val="0062072A"/>
    <w:rsid w:val="00621D5D"/>
    <w:rsid w:val="0062248C"/>
    <w:rsid w:val="00623420"/>
    <w:rsid w:val="0062350E"/>
    <w:rsid w:val="0062353F"/>
    <w:rsid w:val="00623C93"/>
    <w:rsid w:val="00624967"/>
    <w:rsid w:val="00624F3C"/>
    <w:rsid w:val="006252FE"/>
    <w:rsid w:val="00625559"/>
    <w:rsid w:val="006255C0"/>
    <w:rsid w:val="006258CD"/>
    <w:rsid w:val="0062601E"/>
    <w:rsid w:val="0062633E"/>
    <w:rsid w:val="00626A74"/>
    <w:rsid w:val="006275E9"/>
    <w:rsid w:val="006277E2"/>
    <w:rsid w:val="00630D7F"/>
    <w:rsid w:val="00632018"/>
    <w:rsid w:val="00632BCC"/>
    <w:rsid w:val="00632D35"/>
    <w:rsid w:val="00633EC8"/>
    <w:rsid w:val="00634A42"/>
    <w:rsid w:val="00636D4D"/>
    <w:rsid w:val="00637631"/>
    <w:rsid w:val="00640449"/>
    <w:rsid w:val="006408D0"/>
    <w:rsid w:val="006412FE"/>
    <w:rsid w:val="0064150E"/>
    <w:rsid w:val="00641A3B"/>
    <w:rsid w:val="006425CF"/>
    <w:rsid w:val="0064267A"/>
    <w:rsid w:val="00642E96"/>
    <w:rsid w:val="00643144"/>
    <w:rsid w:val="006433C8"/>
    <w:rsid w:val="0064342D"/>
    <w:rsid w:val="00643B79"/>
    <w:rsid w:val="006448C6"/>
    <w:rsid w:val="00646408"/>
    <w:rsid w:val="006467F1"/>
    <w:rsid w:val="00646941"/>
    <w:rsid w:val="006469AC"/>
    <w:rsid w:val="00646ABB"/>
    <w:rsid w:val="00646C24"/>
    <w:rsid w:val="00650305"/>
    <w:rsid w:val="00650D67"/>
    <w:rsid w:val="00651228"/>
    <w:rsid w:val="00651399"/>
    <w:rsid w:val="00651932"/>
    <w:rsid w:val="00651F79"/>
    <w:rsid w:val="006526F5"/>
    <w:rsid w:val="006527F1"/>
    <w:rsid w:val="00652B58"/>
    <w:rsid w:val="00652CD4"/>
    <w:rsid w:val="00652FA2"/>
    <w:rsid w:val="00653217"/>
    <w:rsid w:val="00654357"/>
    <w:rsid w:val="00654EA7"/>
    <w:rsid w:val="006558B0"/>
    <w:rsid w:val="0065596C"/>
    <w:rsid w:val="00655C49"/>
    <w:rsid w:val="00655E45"/>
    <w:rsid w:val="00656677"/>
    <w:rsid w:val="00656CF4"/>
    <w:rsid w:val="00656F03"/>
    <w:rsid w:val="00656F06"/>
    <w:rsid w:val="00657D07"/>
    <w:rsid w:val="00660BB6"/>
    <w:rsid w:val="00660E7A"/>
    <w:rsid w:val="00661826"/>
    <w:rsid w:val="00662216"/>
    <w:rsid w:val="00662793"/>
    <w:rsid w:val="006627B0"/>
    <w:rsid w:val="006637FB"/>
    <w:rsid w:val="0066384A"/>
    <w:rsid w:val="00663A6E"/>
    <w:rsid w:val="00663E25"/>
    <w:rsid w:val="00663F26"/>
    <w:rsid w:val="00664326"/>
    <w:rsid w:val="006645B6"/>
    <w:rsid w:val="006646C9"/>
    <w:rsid w:val="00664E2F"/>
    <w:rsid w:val="00664E72"/>
    <w:rsid w:val="0066564F"/>
    <w:rsid w:val="0066577A"/>
    <w:rsid w:val="00667B26"/>
    <w:rsid w:val="00667B3D"/>
    <w:rsid w:val="006706C0"/>
    <w:rsid w:val="00670B6D"/>
    <w:rsid w:val="00671235"/>
    <w:rsid w:val="0067138A"/>
    <w:rsid w:val="00671D4E"/>
    <w:rsid w:val="00671E04"/>
    <w:rsid w:val="006721E2"/>
    <w:rsid w:val="0067299E"/>
    <w:rsid w:val="0067348E"/>
    <w:rsid w:val="0067361F"/>
    <w:rsid w:val="0067368C"/>
    <w:rsid w:val="006739EE"/>
    <w:rsid w:val="00673A32"/>
    <w:rsid w:val="00673D59"/>
    <w:rsid w:val="00675341"/>
    <w:rsid w:val="00675B0B"/>
    <w:rsid w:val="0067686E"/>
    <w:rsid w:val="00677360"/>
    <w:rsid w:val="00677C6B"/>
    <w:rsid w:val="00677E84"/>
    <w:rsid w:val="00680133"/>
    <w:rsid w:val="00681BF4"/>
    <w:rsid w:val="00682FA6"/>
    <w:rsid w:val="006830AE"/>
    <w:rsid w:val="00683233"/>
    <w:rsid w:val="00683415"/>
    <w:rsid w:val="00683D00"/>
    <w:rsid w:val="0068421C"/>
    <w:rsid w:val="00684634"/>
    <w:rsid w:val="00684A64"/>
    <w:rsid w:val="00684ABA"/>
    <w:rsid w:val="00685148"/>
    <w:rsid w:val="00687302"/>
    <w:rsid w:val="0068767E"/>
    <w:rsid w:val="006878B6"/>
    <w:rsid w:val="006900A6"/>
    <w:rsid w:val="00690ABF"/>
    <w:rsid w:val="00690B76"/>
    <w:rsid w:val="006913A9"/>
    <w:rsid w:val="00692594"/>
    <w:rsid w:val="00692649"/>
    <w:rsid w:val="0069291B"/>
    <w:rsid w:val="006929D0"/>
    <w:rsid w:val="006931E0"/>
    <w:rsid w:val="00693859"/>
    <w:rsid w:val="0069427A"/>
    <w:rsid w:val="00694519"/>
    <w:rsid w:val="00695AB6"/>
    <w:rsid w:val="0069732C"/>
    <w:rsid w:val="00697708"/>
    <w:rsid w:val="006979F4"/>
    <w:rsid w:val="00697E47"/>
    <w:rsid w:val="00697F04"/>
    <w:rsid w:val="006A074E"/>
    <w:rsid w:val="006A0D2A"/>
    <w:rsid w:val="006A0E1E"/>
    <w:rsid w:val="006A21D7"/>
    <w:rsid w:val="006A36AB"/>
    <w:rsid w:val="006A3765"/>
    <w:rsid w:val="006A3C4E"/>
    <w:rsid w:val="006A467F"/>
    <w:rsid w:val="006A468D"/>
    <w:rsid w:val="006A4773"/>
    <w:rsid w:val="006A49A2"/>
    <w:rsid w:val="006A550C"/>
    <w:rsid w:val="006A57CA"/>
    <w:rsid w:val="006A5E4B"/>
    <w:rsid w:val="006A6B26"/>
    <w:rsid w:val="006B002D"/>
    <w:rsid w:val="006B03AF"/>
    <w:rsid w:val="006B0821"/>
    <w:rsid w:val="006B083F"/>
    <w:rsid w:val="006B22F1"/>
    <w:rsid w:val="006B234C"/>
    <w:rsid w:val="006B2AC5"/>
    <w:rsid w:val="006B2D15"/>
    <w:rsid w:val="006B31EF"/>
    <w:rsid w:val="006B53F4"/>
    <w:rsid w:val="006B5E16"/>
    <w:rsid w:val="006B6764"/>
    <w:rsid w:val="006B706C"/>
    <w:rsid w:val="006B70C2"/>
    <w:rsid w:val="006B7525"/>
    <w:rsid w:val="006C06F3"/>
    <w:rsid w:val="006C085C"/>
    <w:rsid w:val="006C0868"/>
    <w:rsid w:val="006C1AA7"/>
    <w:rsid w:val="006C1BD3"/>
    <w:rsid w:val="006C1ED4"/>
    <w:rsid w:val="006C2930"/>
    <w:rsid w:val="006C2C43"/>
    <w:rsid w:val="006C32BB"/>
    <w:rsid w:val="006C3DC7"/>
    <w:rsid w:val="006C4332"/>
    <w:rsid w:val="006C56A3"/>
    <w:rsid w:val="006C6425"/>
    <w:rsid w:val="006C64D3"/>
    <w:rsid w:val="006C67D0"/>
    <w:rsid w:val="006C6AF5"/>
    <w:rsid w:val="006C73B7"/>
    <w:rsid w:val="006C74F3"/>
    <w:rsid w:val="006C7509"/>
    <w:rsid w:val="006C7995"/>
    <w:rsid w:val="006C7DBC"/>
    <w:rsid w:val="006D0872"/>
    <w:rsid w:val="006D08B0"/>
    <w:rsid w:val="006D1202"/>
    <w:rsid w:val="006D120D"/>
    <w:rsid w:val="006D1750"/>
    <w:rsid w:val="006D389A"/>
    <w:rsid w:val="006D3FD9"/>
    <w:rsid w:val="006D42D8"/>
    <w:rsid w:val="006D53E8"/>
    <w:rsid w:val="006D5C00"/>
    <w:rsid w:val="006D5E30"/>
    <w:rsid w:val="006D6B0C"/>
    <w:rsid w:val="006D6C07"/>
    <w:rsid w:val="006D6D6A"/>
    <w:rsid w:val="006D6E93"/>
    <w:rsid w:val="006D76ED"/>
    <w:rsid w:val="006E05D8"/>
    <w:rsid w:val="006E0BCE"/>
    <w:rsid w:val="006E1E7E"/>
    <w:rsid w:val="006E217A"/>
    <w:rsid w:val="006E2557"/>
    <w:rsid w:val="006E28E2"/>
    <w:rsid w:val="006E2EA3"/>
    <w:rsid w:val="006E3683"/>
    <w:rsid w:val="006E3D30"/>
    <w:rsid w:val="006E480B"/>
    <w:rsid w:val="006E4B58"/>
    <w:rsid w:val="006E4DA4"/>
    <w:rsid w:val="006E5BDB"/>
    <w:rsid w:val="006E5F2A"/>
    <w:rsid w:val="006E621B"/>
    <w:rsid w:val="006E6DA2"/>
    <w:rsid w:val="006E6F1E"/>
    <w:rsid w:val="006E7136"/>
    <w:rsid w:val="006E78D0"/>
    <w:rsid w:val="006E7D33"/>
    <w:rsid w:val="006E7FB3"/>
    <w:rsid w:val="006F0359"/>
    <w:rsid w:val="006F077D"/>
    <w:rsid w:val="006F0CFD"/>
    <w:rsid w:val="006F18F4"/>
    <w:rsid w:val="006F1F16"/>
    <w:rsid w:val="006F2145"/>
    <w:rsid w:val="006F2811"/>
    <w:rsid w:val="006F2914"/>
    <w:rsid w:val="006F2C25"/>
    <w:rsid w:val="006F45BD"/>
    <w:rsid w:val="006F49C5"/>
    <w:rsid w:val="006F4B24"/>
    <w:rsid w:val="006F4BE6"/>
    <w:rsid w:val="006F620E"/>
    <w:rsid w:val="006F67A1"/>
    <w:rsid w:val="006F68FF"/>
    <w:rsid w:val="006F69C2"/>
    <w:rsid w:val="006F7DD6"/>
    <w:rsid w:val="00700ACC"/>
    <w:rsid w:val="00701AE7"/>
    <w:rsid w:val="00702BBF"/>
    <w:rsid w:val="00702D0D"/>
    <w:rsid w:val="00703201"/>
    <w:rsid w:val="00704114"/>
    <w:rsid w:val="00704137"/>
    <w:rsid w:val="00704304"/>
    <w:rsid w:val="007043FE"/>
    <w:rsid w:val="00704455"/>
    <w:rsid w:val="00704606"/>
    <w:rsid w:val="00704A83"/>
    <w:rsid w:val="00704ED9"/>
    <w:rsid w:val="007051A9"/>
    <w:rsid w:val="007053C4"/>
    <w:rsid w:val="00705432"/>
    <w:rsid w:val="007067CA"/>
    <w:rsid w:val="00707AE4"/>
    <w:rsid w:val="00712956"/>
    <w:rsid w:val="00713AC7"/>
    <w:rsid w:val="00714646"/>
    <w:rsid w:val="00714E1A"/>
    <w:rsid w:val="00715574"/>
    <w:rsid w:val="00715F2E"/>
    <w:rsid w:val="00716271"/>
    <w:rsid w:val="00716484"/>
    <w:rsid w:val="00716DA4"/>
    <w:rsid w:val="007172D3"/>
    <w:rsid w:val="00717BCD"/>
    <w:rsid w:val="00720209"/>
    <w:rsid w:val="0072053C"/>
    <w:rsid w:val="00720AA1"/>
    <w:rsid w:val="007211B7"/>
    <w:rsid w:val="007212CB"/>
    <w:rsid w:val="0072187A"/>
    <w:rsid w:val="0072197D"/>
    <w:rsid w:val="0072211B"/>
    <w:rsid w:val="007222A0"/>
    <w:rsid w:val="0072258D"/>
    <w:rsid w:val="00722594"/>
    <w:rsid w:val="007226F6"/>
    <w:rsid w:val="00722B04"/>
    <w:rsid w:val="0072360B"/>
    <w:rsid w:val="00723D59"/>
    <w:rsid w:val="00723F1D"/>
    <w:rsid w:val="00724212"/>
    <w:rsid w:val="00725B88"/>
    <w:rsid w:val="00725C52"/>
    <w:rsid w:val="00725F79"/>
    <w:rsid w:val="00730909"/>
    <w:rsid w:val="007316A2"/>
    <w:rsid w:val="0073178B"/>
    <w:rsid w:val="00731A20"/>
    <w:rsid w:val="0073343D"/>
    <w:rsid w:val="00733F7D"/>
    <w:rsid w:val="00734B5B"/>
    <w:rsid w:val="00735307"/>
    <w:rsid w:val="00735799"/>
    <w:rsid w:val="00735FE8"/>
    <w:rsid w:val="0073617C"/>
    <w:rsid w:val="007364A5"/>
    <w:rsid w:val="0073651C"/>
    <w:rsid w:val="00737151"/>
    <w:rsid w:val="007375D0"/>
    <w:rsid w:val="00737DD1"/>
    <w:rsid w:val="007402B6"/>
    <w:rsid w:val="007403F3"/>
    <w:rsid w:val="00740509"/>
    <w:rsid w:val="0074051C"/>
    <w:rsid w:val="00741371"/>
    <w:rsid w:val="0074149C"/>
    <w:rsid w:val="007417AB"/>
    <w:rsid w:val="00741CB2"/>
    <w:rsid w:val="00742BD6"/>
    <w:rsid w:val="00743392"/>
    <w:rsid w:val="007434D6"/>
    <w:rsid w:val="00743787"/>
    <w:rsid w:val="007450C0"/>
    <w:rsid w:val="00745660"/>
    <w:rsid w:val="00745A64"/>
    <w:rsid w:val="00745D40"/>
    <w:rsid w:val="00746BBE"/>
    <w:rsid w:val="00746D2D"/>
    <w:rsid w:val="00746F70"/>
    <w:rsid w:val="00747C89"/>
    <w:rsid w:val="00747D69"/>
    <w:rsid w:val="0075037B"/>
    <w:rsid w:val="0075095A"/>
    <w:rsid w:val="007514F0"/>
    <w:rsid w:val="00751822"/>
    <w:rsid w:val="0075293E"/>
    <w:rsid w:val="007534EC"/>
    <w:rsid w:val="007538DD"/>
    <w:rsid w:val="00753AB7"/>
    <w:rsid w:val="00754114"/>
    <w:rsid w:val="007545CE"/>
    <w:rsid w:val="00754CFE"/>
    <w:rsid w:val="0075512B"/>
    <w:rsid w:val="0075522B"/>
    <w:rsid w:val="00755B49"/>
    <w:rsid w:val="00755D3C"/>
    <w:rsid w:val="0075678B"/>
    <w:rsid w:val="007567DB"/>
    <w:rsid w:val="00756995"/>
    <w:rsid w:val="00757521"/>
    <w:rsid w:val="007606C0"/>
    <w:rsid w:val="00760DB0"/>
    <w:rsid w:val="00760EA2"/>
    <w:rsid w:val="007621C6"/>
    <w:rsid w:val="00762AA6"/>
    <w:rsid w:val="00762ECA"/>
    <w:rsid w:val="007631E5"/>
    <w:rsid w:val="00763616"/>
    <w:rsid w:val="00763DA8"/>
    <w:rsid w:val="00763E1C"/>
    <w:rsid w:val="007648FE"/>
    <w:rsid w:val="007649A7"/>
    <w:rsid w:val="0076647E"/>
    <w:rsid w:val="00767B14"/>
    <w:rsid w:val="007707AC"/>
    <w:rsid w:val="00770C82"/>
    <w:rsid w:val="00770F14"/>
    <w:rsid w:val="0077119C"/>
    <w:rsid w:val="00771DA9"/>
    <w:rsid w:val="00771E87"/>
    <w:rsid w:val="00772410"/>
    <w:rsid w:val="007724A0"/>
    <w:rsid w:val="00773B9C"/>
    <w:rsid w:val="00773D42"/>
    <w:rsid w:val="00773F48"/>
    <w:rsid w:val="00774999"/>
    <w:rsid w:val="007751B7"/>
    <w:rsid w:val="007756F3"/>
    <w:rsid w:val="0077607E"/>
    <w:rsid w:val="00776271"/>
    <w:rsid w:val="007762F7"/>
    <w:rsid w:val="00776CCB"/>
    <w:rsid w:val="00776FD6"/>
    <w:rsid w:val="00777151"/>
    <w:rsid w:val="007776C5"/>
    <w:rsid w:val="00777D40"/>
    <w:rsid w:val="007809B5"/>
    <w:rsid w:val="00780D4C"/>
    <w:rsid w:val="00781431"/>
    <w:rsid w:val="007818AB"/>
    <w:rsid w:val="007829F2"/>
    <w:rsid w:val="007836FA"/>
    <w:rsid w:val="00783CBB"/>
    <w:rsid w:val="00783FC8"/>
    <w:rsid w:val="00785320"/>
    <w:rsid w:val="00785C06"/>
    <w:rsid w:val="00785FCE"/>
    <w:rsid w:val="00786178"/>
    <w:rsid w:val="0078691E"/>
    <w:rsid w:val="007872FC"/>
    <w:rsid w:val="007879DC"/>
    <w:rsid w:val="00790AFD"/>
    <w:rsid w:val="007912B8"/>
    <w:rsid w:val="00791DAD"/>
    <w:rsid w:val="007943DB"/>
    <w:rsid w:val="007947D6"/>
    <w:rsid w:val="00794C51"/>
    <w:rsid w:val="007952B0"/>
    <w:rsid w:val="007957EF"/>
    <w:rsid w:val="00795B15"/>
    <w:rsid w:val="00796433"/>
    <w:rsid w:val="00796590"/>
    <w:rsid w:val="00796733"/>
    <w:rsid w:val="007969B0"/>
    <w:rsid w:val="00796D0E"/>
    <w:rsid w:val="007974C1"/>
    <w:rsid w:val="0079764C"/>
    <w:rsid w:val="007977C5"/>
    <w:rsid w:val="00797FE5"/>
    <w:rsid w:val="007A050F"/>
    <w:rsid w:val="007A0BFD"/>
    <w:rsid w:val="007A1091"/>
    <w:rsid w:val="007A10A4"/>
    <w:rsid w:val="007A1849"/>
    <w:rsid w:val="007A28E8"/>
    <w:rsid w:val="007A3253"/>
    <w:rsid w:val="007A3E05"/>
    <w:rsid w:val="007A4F55"/>
    <w:rsid w:val="007A52C5"/>
    <w:rsid w:val="007A541E"/>
    <w:rsid w:val="007A660C"/>
    <w:rsid w:val="007A6A6F"/>
    <w:rsid w:val="007B049B"/>
    <w:rsid w:val="007B0755"/>
    <w:rsid w:val="007B14A9"/>
    <w:rsid w:val="007B20C2"/>
    <w:rsid w:val="007B2429"/>
    <w:rsid w:val="007B2434"/>
    <w:rsid w:val="007B26F2"/>
    <w:rsid w:val="007B2E0E"/>
    <w:rsid w:val="007B3F04"/>
    <w:rsid w:val="007B40C1"/>
    <w:rsid w:val="007B6013"/>
    <w:rsid w:val="007B6269"/>
    <w:rsid w:val="007B626C"/>
    <w:rsid w:val="007B640C"/>
    <w:rsid w:val="007B72AB"/>
    <w:rsid w:val="007B786B"/>
    <w:rsid w:val="007C15BF"/>
    <w:rsid w:val="007C2035"/>
    <w:rsid w:val="007C3482"/>
    <w:rsid w:val="007C375B"/>
    <w:rsid w:val="007C378A"/>
    <w:rsid w:val="007C5284"/>
    <w:rsid w:val="007C57B5"/>
    <w:rsid w:val="007C6702"/>
    <w:rsid w:val="007C7128"/>
    <w:rsid w:val="007C7C63"/>
    <w:rsid w:val="007C7F8A"/>
    <w:rsid w:val="007D03C2"/>
    <w:rsid w:val="007D1B1F"/>
    <w:rsid w:val="007D1CC8"/>
    <w:rsid w:val="007D2014"/>
    <w:rsid w:val="007D376A"/>
    <w:rsid w:val="007D3E9B"/>
    <w:rsid w:val="007D3FC3"/>
    <w:rsid w:val="007D5676"/>
    <w:rsid w:val="007D5688"/>
    <w:rsid w:val="007D5869"/>
    <w:rsid w:val="007D58E9"/>
    <w:rsid w:val="007D5D8C"/>
    <w:rsid w:val="007D629C"/>
    <w:rsid w:val="007D6BAC"/>
    <w:rsid w:val="007D6E99"/>
    <w:rsid w:val="007D76AF"/>
    <w:rsid w:val="007E15B9"/>
    <w:rsid w:val="007E2097"/>
    <w:rsid w:val="007E229F"/>
    <w:rsid w:val="007E3938"/>
    <w:rsid w:val="007E3DA4"/>
    <w:rsid w:val="007E3EE9"/>
    <w:rsid w:val="007E3F76"/>
    <w:rsid w:val="007E4A8E"/>
    <w:rsid w:val="007E5160"/>
    <w:rsid w:val="007E584A"/>
    <w:rsid w:val="007E612C"/>
    <w:rsid w:val="007E68DF"/>
    <w:rsid w:val="007E70FB"/>
    <w:rsid w:val="007E7BBA"/>
    <w:rsid w:val="007E7CE8"/>
    <w:rsid w:val="007E7D08"/>
    <w:rsid w:val="007E7EFB"/>
    <w:rsid w:val="007F08F3"/>
    <w:rsid w:val="007F1149"/>
    <w:rsid w:val="007F2122"/>
    <w:rsid w:val="007F22EE"/>
    <w:rsid w:val="007F29CC"/>
    <w:rsid w:val="007F2B95"/>
    <w:rsid w:val="007F3306"/>
    <w:rsid w:val="007F3739"/>
    <w:rsid w:val="007F383C"/>
    <w:rsid w:val="007F3E9A"/>
    <w:rsid w:val="007F3FF4"/>
    <w:rsid w:val="007F46A4"/>
    <w:rsid w:val="007F4EFC"/>
    <w:rsid w:val="007F5367"/>
    <w:rsid w:val="007F5762"/>
    <w:rsid w:val="007F5CEE"/>
    <w:rsid w:val="007F6136"/>
    <w:rsid w:val="007F6379"/>
    <w:rsid w:val="007F66A9"/>
    <w:rsid w:val="007F6B53"/>
    <w:rsid w:val="007F6BDD"/>
    <w:rsid w:val="007F6F7A"/>
    <w:rsid w:val="007F7086"/>
    <w:rsid w:val="007F714D"/>
    <w:rsid w:val="007F7223"/>
    <w:rsid w:val="007F7248"/>
    <w:rsid w:val="007F7AE4"/>
    <w:rsid w:val="00800A49"/>
    <w:rsid w:val="008018D1"/>
    <w:rsid w:val="0080227C"/>
    <w:rsid w:val="00802B45"/>
    <w:rsid w:val="00802FE4"/>
    <w:rsid w:val="0080307C"/>
    <w:rsid w:val="00803889"/>
    <w:rsid w:val="00804827"/>
    <w:rsid w:val="00805032"/>
    <w:rsid w:val="008058D6"/>
    <w:rsid w:val="00805A92"/>
    <w:rsid w:val="008069DC"/>
    <w:rsid w:val="00807080"/>
    <w:rsid w:val="00807727"/>
    <w:rsid w:val="00807B6E"/>
    <w:rsid w:val="00807B79"/>
    <w:rsid w:val="008101AC"/>
    <w:rsid w:val="0081035B"/>
    <w:rsid w:val="00810998"/>
    <w:rsid w:val="00810D9E"/>
    <w:rsid w:val="00810DE7"/>
    <w:rsid w:val="0081132A"/>
    <w:rsid w:val="008116F6"/>
    <w:rsid w:val="0081176F"/>
    <w:rsid w:val="008117C8"/>
    <w:rsid w:val="00812B28"/>
    <w:rsid w:val="008138ED"/>
    <w:rsid w:val="00813BFA"/>
    <w:rsid w:val="008145F5"/>
    <w:rsid w:val="008145F8"/>
    <w:rsid w:val="00814F5D"/>
    <w:rsid w:val="00815B0E"/>
    <w:rsid w:val="00815F62"/>
    <w:rsid w:val="008162C9"/>
    <w:rsid w:val="00816B05"/>
    <w:rsid w:val="0081739D"/>
    <w:rsid w:val="008175F2"/>
    <w:rsid w:val="0081781D"/>
    <w:rsid w:val="00817AA2"/>
    <w:rsid w:val="00817C9F"/>
    <w:rsid w:val="00820F73"/>
    <w:rsid w:val="00821A4E"/>
    <w:rsid w:val="00821BA0"/>
    <w:rsid w:val="00821D56"/>
    <w:rsid w:val="00822A13"/>
    <w:rsid w:val="00822C44"/>
    <w:rsid w:val="00823E0B"/>
    <w:rsid w:val="008247CA"/>
    <w:rsid w:val="008249FE"/>
    <w:rsid w:val="00825491"/>
    <w:rsid w:val="00825D62"/>
    <w:rsid w:val="00825EB1"/>
    <w:rsid w:val="008261A3"/>
    <w:rsid w:val="0082729A"/>
    <w:rsid w:val="00827EB3"/>
    <w:rsid w:val="00827EF6"/>
    <w:rsid w:val="00827FEA"/>
    <w:rsid w:val="00830B95"/>
    <w:rsid w:val="00830E4B"/>
    <w:rsid w:val="008314D7"/>
    <w:rsid w:val="00832D06"/>
    <w:rsid w:val="00833272"/>
    <w:rsid w:val="008333B0"/>
    <w:rsid w:val="008336C2"/>
    <w:rsid w:val="00833D64"/>
    <w:rsid w:val="008357ED"/>
    <w:rsid w:val="00835D25"/>
    <w:rsid w:val="00836ADC"/>
    <w:rsid w:val="00837305"/>
    <w:rsid w:val="0083797D"/>
    <w:rsid w:val="00837EBF"/>
    <w:rsid w:val="00840666"/>
    <w:rsid w:val="00840FBC"/>
    <w:rsid w:val="00841271"/>
    <w:rsid w:val="00841425"/>
    <w:rsid w:val="00841731"/>
    <w:rsid w:val="008419A3"/>
    <w:rsid w:val="00841A1A"/>
    <w:rsid w:val="00841AEE"/>
    <w:rsid w:val="00842F24"/>
    <w:rsid w:val="00843059"/>
    <w:rsid w:val="00843939"/>
    <w:rsid w:val="00843949"/>
    <w:rsid w:val="00843A90"/>
    <w:rsid w:val="00843FEE"/>
    <w:rsid w:val="0084455C"/>
    <w:rsid w:val="008447FF"/>
    <w:rsid w:val="00845788"/>
    <w:rsid w:val="0084584E"/>
    <w:rsid w:val="00845F07"/>
    <w:rsid w:val="00845FD7"/>
    <w:rsid w:val="008461D6"/>
    <w:rsid w:val="0084774B"/>
    <w:rsid w:val="00847E88"/>
    <w:rsid w:val="00852171"/>
    <w:rsid w:val="008526A4"/>
    <w:rsid w:val="00852AC7"/>
    <w:rsid w:val="00852B08"/>
    <w:rsid w:val="00853170"/>
    <w:rsid w:val="00853752"/>
    <w:rsid w:val="00853EE6"/>
    <w:rsid w:val="00854495"/>
    <w:rsid w:val="008546BE"/>
    <w:rsid w:val="00854754"/>
    <w:rsid w:val="008549CC"/>
    <w:rsid w:val="00854B45"/>
    <w:rsid w:val="00854D59"/>
    <w:rsid w:val="008550D1"/>
    <w:rsid w:val="00855122"/>
    <w:rsid w:val="00855954"/>
    <w:rsid w:val="00855D80"/>
    <w:rsid w:val="00855EB1"/>
    <w:rsid w:val="00856379"/>
    <w:rsid w:val="008566F9"/>
    <w:rsid w:val="008567D4"/>
    <w:rsid w:val="0085734B"/>
    <w:rsid w:val="00857486"/>
    <w:rsid w:val="0085794B"/>
    <w:rsid w:val="00857D61"/>
    <w:rsid w:val="008600BF"/>
    <w:rsid w:val="0086019D"/>
    <w:rsid w:val="00860347"/>
    <w:rsid w:val="00860A2B"/>
    <w:rsid w:val="00860ADE"/>
    <w:rsid w:val="00861461"/>
    <w:rsid w:val="0086167D"/>
    <w:rsid w:val="008621EB"/>
    <w:rsid w:val="0086223D"/>
    <w:rsid w:val="00862402"/>
    <w:rsid w:val="00863144"/>
    <w:rsid w:val="008632E3"/>
    <w:rsid w:val="00863401"/>
    <w:rsid w:val="008636A6"/>
    <w:rsid w:val="00864796"/>
    <w:rsid w:val="008662B7"/>
    <w:rsid w:val="00866B84"/>
    <w:rsid w:val="00866C01"/>
    <w:rsid w:val="00866F51"/>
    <w:rsid w:val="008670D6"/>
    <w:rsid w:val="008670DC"/>
    <w:rsid w:val="00867F2A"/>
    <w:rsid w:val="008700C6"/>
    <w:rsid w:val="008707B3"/>
    <w:rsid w:val="008708FF"/>
    <w:rsid w:val="008709F2"/>
    <w:rsid w:val="00870B11"/>
    <w:rsid w:val="00870E04"/>
    <w:rsid w:val="00870FEA"/>
    <w:rsid w:val="008716CB"/>
    <w:rsid w:val="00871BD8"/>
    <w:rsid w:val="00871BD9"/>
    <w:rsid w:val="00871E0A"/>
    <w:rsid w:val="008722A0"/>
    <w:rsid w:val="00872AE7"/>
    <w:rsid w:val="00872D86"/>
    <w:rsid w:val="00873848"/>
    <w:rsid w:val="00874434"/>
    <w:rsid w:val="00875CE3"/>
    <w:rsid w:val="00875D5B"/>
    <w:rsid w:val="00875DC8"/>
    <w:rsid w:val="00876F0C"/>
    <w:rsid w:val="00876FB0"/>
    <w:rsid w:val="00877B43"/>
    <w:rsid w:val="00880529"/>
    <w:rsid w:val="00880A5B"/>
    <w:rsid w:val="00881222"/>
    <w:rsid w:val="00881270"/>
    <w:rsid w:val="008812D7"/>
    <w:rsid w:val="00881354"/>
    <w:rsid w:val="0088174A"/>
    <w:rsid w:val="00881B3A"/>
    <w:rsid w:val="00881DE9"/>
    <w:rsid w:val="00881E32"/>
    <w:rsid w:val="00882439"/>
    <w:rsid w:val="00882D64"/>
    <w:rsid w:val="00883D21"/>
    <w:rsid w:val="00883E4C"/>
    <w:rsid w:val="00883FA2"/>
    <w:rsid w:val="008849AB"/>
    <w:rsid w:val="0088529F"/>
    <w:rsid w:val="00885A55"/>
    <w:rsid w:val="00885D70"/>
    <w:rsid w:val="00885D73"/>
    <w:rsid w:val="00886519"/>
    <w:rsid w:val="008866C0"/>
    <w:rsid w:val="0088713C"/>
    <w:rsid w:val="008877B5"/>
    <w:rsid w:val="008908E5"/>
    <w:rsid w:val="008910DA"/>
    <w:rsid w:val="00891B14"/>
    <w:rsid w:val="008926CE"/>
    <w:rsid w:val="00892C65"/>
    <w:rsid w:val="00893133"/>
    <w:rsid w:val="00893834"/>
    <w:rsid w:val="008944A6"/>
    <w:rsid w:val="0089454D"/>
    <w:rsid w:val="00894AAC"/>
    <w:rsid w:val="00894E72"/>
    <w:rsid w:val="00894F12"/>
    <w:rsid w:val="008950C1"/>
    <w:rsid w:val="00895405"/>
    <w:rsid w:val="00895626"/>
    <w:rsid w:val="008957F4"/>
    <w:rsid w:val="00895938"/>
    <w:rsid w:val="00895E82"/>
    <w:rsid w:val="008961AE"/>
    <w:rsid w:val="00896340"/>
    <w:rsid w:val="0089686F"/>
    <w:rsid w:val="008971A8"/>
    <w:rsid w:val="00897B46"/>
    <w:rsid w:val="00897F7C"/>
    <w:rsid w:val="008A0E07"/>
    <w:rsid w:val="008A1FB4"/>
    <w:rsid w:val="008A2C8A"/>
    <w:rsid w:val="008A2F5A"/>
    <w:rsid w:val="008A300F"/>
    <w:rsid w:val="008A329C"/>
    <w:rsid w:val="008A32C5"/>
    <w:rsid w:val="008A4573"/>
    <w:rsid w:val="008A495E"/>
    <w:rsid w:val="008A5474"/>
    <w:rsid w:val="008A5CB3"/>
    <w:rsid w:val="008B0196"/>
    <w:rsid w:val="008B06FE"/>
    <w:rsid w:val="008B09DE"/>
    <w:rsid w:val="008B1462"/>
    <w:rsid w:val="008B2B6A"/>
    <w:rsid w:val="008B35FA"/>
    <w:rsid w:val="008B370B"/>
    <w:rsid w:val="008B3E1D"/>
    <w:rsid w:val="008B3FE8"/>
    <w:rsid w:val="008B4022"/>
    <w:rsid w:val="008B472F"/>
    <w:rsid w:val="008B49F6"/>
    <w:rsid w:val="008B4B7E"/>
    <w:rsid w:val="008B4F37"/>
    <w:rsid w:val="008B51E7"/>
    <w:rsid w:val="008B68B9"/>
    <w:rsid w:val="008B69BA"/>
    <w:rsid w:val="008B7025"/>
    <w:rsid w:val="008B7A3D"/>
    <w:rsid w:val="008C044D"/>
    <w:rsid w:val="008C0486"/>
    <w:rsid w:val="008C04C6"/>
    <w:rsid w:val="008C0C67"/>
    <w:rsid w:val="008C0F2D"/>
    <w:rsid w:val="008C1D4B"/>
    <w:rsid w:val="008C3337"/>
    <w:rsid w:val="008C39FC"/>
    <w:rsid w:val="008C4D4F"/>
    <w:rsid w:val="008C58E2"/>
    <w:rsid w:val="008C64EB"/>
    <w:rsid w:val="008C6903"/>
    <w:rsid w:val="008C74F5"/>
    <w:rsid w:val="008C7563"/>
    <w:rsid w:val="008C77F9"/>
    <w:rsid w:val="008C78D1"/>
    <w:rsid w:val="008C7940"/>
    <w:rsid w:val="008D02A7"/>
    <w:rsid w:val="008D042D"/>
    <w:rsid w:val="008D0D96"/>
    <w:rsid w:val="008D27D1"/>
    <w:rsid w:val="008D2B42"/>
    <w:rsid w:val="008D2F60"/>
    <w:rsid w:val="008D360B"/>
    <w:rsid w:val="008D40F3"/>
    <w:rsid w:val="008D4929"/>
    <w:rsid w:val="008D55B9"/>
    <w:rsid w:val="008D55BC"/>
    <w:rsid w:val="008D560B"/>
    <w:rsid w:val="008D5BB9"/>
    <w:rsid w:val="008D6075"/>
    <w:rsid w:val="008D721C"/>
    <w:rsid w:val="008D7DA5"/>
    <w:rsid w:val="008E0C8D"/>
    <w:rsid w:val="008E0E8D"/>
    <w:rsid w:val="008E1155"/>
    <w:rsid w:val="008E1DD8"/>
    <w:rsid w:val="008E1FFE"/>
    <w:rsid w:val="008E21DD"/>
    <w:rsid w:val="008E3978"/>
    <w:rsid w:val="008E4AE5"/>
    <w:rsid w:val="008E51E1"/>
    <w:rsid w:val="008E54D5"/>
    <w:rsid w:val="008E58F5"/>
    <w:rsid w:val="008E5E22"/>
    <w:rsid w:val="008E628D"/>
    <w:rsid w:val="008E6BE8"/>
    <w:rsid w:val="008E7075"/>
    <w:rsid w:val="008E747C"/>
    <w:rsid w:val="008F0457"/>
    <w:rsid w:val="008F074B"/>
    <w:rsid w:val="008F0E7B"/>
    <w:rsid w:val="008F13BF"/>
    <w:rsid w:val="008F1799"/>
    <w:rsid w:val="008F1800"/>
    <w:rsid w:val="008F1FC4"/>
    <w:rsid w:val="008F2A89"/>
    <w:rsid w:val="008F2AC0"/>
    <w:rsid w:val="008F2C3C"/>
    <w:rsid w:val="008F40E3"/>
    <w:rsid w:val="008F4257"/>
    <w:rsid w:val="008F45D8"/>
    <w:rsid w:val="008F49F5"/>
    <w:rsid w:val="008F4C88"/>
    <w:rsid w:val="008F4CE2"/>
    <w:rsid w:val="008F5B20"/>
    <w:rsid w:val="008F6134"/>
    <w:rsid w:val="008F770F"/>
    <w:rsid w:val="008F7CB3"/>
    <w:rsid w:val="00900646"/>
    <w:rsid w:val="00900B49"/>
    <w:rsid w:val="00901677"/>
    <w:rsid w:val="009021D5"/>
    <w:rsid w:val="00902336"/>
    <w:rsid w:val="00902687"/>
    <w:rsid w:val="00902796"/>
    <w:rsid w:val="00902B28"/>
    <w:rsid w:val="00903231"/>
    <w:rsid w:val="00904DBD"/>
    <w:rsid w:val="00905499"/>
    <w:rsid w:val="0090576A"/>
    <w:rsid w:val="00905EC7"/>
    <w:rsid w:val="00906CEC"/>
    <w:rsid w:val="00906DA2"/>
    <w:rsid w:val="00906F52"/>
    <w:rsid w:val="00907136"/>
    <w:rsid w:val="00907292"/>
    <w:rsid w:val="009072D9"/>
    <w:rsid w:val="009074FA"/>
    <w:rsid w:val="00907709"/>
    <w:rsid w:val="009077AF"/>
    <w:rsid w:val="00907A6E"/>
    <w:rsid w:val="00910C2D"/>
    <w:rsid w:val="00910CAB"/>
    <w:rsid w:val="00911276"/>
    <w:rsid w:val="009116D4"/>
    <w:rsid w:val="00911F7D"/>
    <w:rsid w:val="00912161"/>
    <w:rsid w:val="009121C8"/>
    <w:rsid w:val="009127E3"/>
    <w:rsid w:val="0091338D"/>
    <w:rsid w:val="009150CF"/>
    <w:rsid w:val="00915686"/>
    <w:rsid w:val="00916069"/>
    <w:rsid w:val="0091681E"/>
    <w:rsid w:val="00916BD9"/>
    <w:rsid w:val="00917CF9"/>
    <w:rsid w:val="0092203A"/>
    <w:rsid w:val="00922526"/>
    <w:rsid w:val="00922963"/>
    <w:rsid w:val="00922ECC"/>
    <w:rsid w:val="00922EE6"/>
    <w:rsid w:val="009234B3"/>
    <w:rsid w:val="00924434"/>
    <w:rsid w:val="009250D4"/>
    <w:rsid w:val="00925BCC"/>
    <w:rsid w:val="00925E50"/>
    <w:rsid w:val="00925F85"/>
    <w:rsid w:val="0092605A"/>
    <w:rsid w:val="009317D4"/>
    <w:rsid w:val="00931B64"/>
    <w:rsid w:val="0093261F"/>
    <w:rsid w:val="00932D3F"/>
    <w:rsid w:val="009331AA"/>
    <w:rsid w:val="0093347A"/>
    <w:rsid w:val="009340D4"/>
    <w:rsid w:val="0093410C"/>
    <w:rsid w:val="009356DB"/>
    <w:rsid w:val="00935A85"/>
    <w:rsid w:val="0093607C"/>
    <w:rsid w:val="009366CF"/>
    <w:rsid w:val="00937B6D"/>
    <w:rsid w:val="00937CBC"/>
    <w:rsid w:val="00937DFD"/>
    <w:rsid w:val="00937F10"/>
    <w:rsid w:val="00940670"/>
    <w:rsid w:val="00940726"/>
    <w:rsid w:val="009412B1"/>
    <w:rsid w:val="009413AB"/>
    <w:rsid w:val="00941CC2"/>
    <w:rsid w:val="009424AE"/>
    <w:rsid w:val="0094459E"/>
    <w:rsid w:val="00944DF3"/>
    <w:rsid w:val="00945167"/>
    <w:rsid w:val="00945A8D"/>
    <w:rsid w:val="00945B08"/>
    <w:rsid w:val="00946116"/>
    <w:rsid w:val="009465D0"/>
    <w:rsid w:val="00946CBF"/>
    <w:rsid w:val="009473FB"/>
    <w:rsid w:val="009474AB"/>
    <w:rsid w:val="00947520"/>
    <w:rsid w:val="009477F2"/>
    <w:rsid w:val="00950281"/>
    <w:rsid w:val="00950927"/>
    <w:rsid w:val="00950A4B"/>
    <w:rsid w:val="00950DF0"/>
    <w:rsid w:val="00951095"/>
    <w:rsid w:val="00951463"/>
    <w:rsid w:val="00951675"/>
    <w:rsid w:val="00952715"/>
    <w:rsid w:val="009530EF"/>
    <w:rsid w:val="009531C1"/>
    <w:rsid w:val="00953817"/>
    <w:rsid w:val="00953A7B"/>
    <w:rsid w:val="00955681"/>
    <w:rsid w:val="00955693"/>
    <w:rsid w:val="00955D5F"/>
    <w:rsid w:val="00957277"/>
    <w:rsid w:val="009577D3"/>
    <w:rsid w:val="009578EB"/>
    <w:rsid w:val="00957D8B"/>
    <w:rsid w:val="00960DAC"/>
    <w:rsid w:val="00961072"/>
    <w:rsid w:val="00961125"/>
    <w:rsid w:val="0096112F"/>
    <w:rsid w:val="009617DF"/>
    <w:rsid w:val="00961FF2"/>
    <w:rsid w:val="00962568"/>
    <w:rsid w:val="00962690"/>
    <w:rsid w:val="009629A6"/>
    <w:rsid w:val="00962BA9"/>
    <w:rsid w:val="00962EF7"/>
    <w:rsid w:val="00964118"/>
    <w:rsid w:val="00964FB0"/>
    <w:rsid w:val="00965423"/>
    <w:rsid w:val="009658E3"/>
    <w:rsid w:val="009662A0"/>
    <w:rsid w:val="00966517"/>
    <w:rsid w:val="00966A47"/>
    <w:rsid w:val="0096730D"/>
    <w:rsid w:val="00967809"/>
    <w:rsid w:val="00967ADF"/>
    <w:rsid w:val="00967F22"/>
    <w:rsid w:val="009702A8"/>
    <w:rsid w:val="00970699"/>
    <w:rsid w:val="00970724"/>
    <w:rsid w:val="009707F9"/>
    <w:rsid w:val="0097087D"/>
    <w:rsid w:val="00970F37"/>
    <w:rsid w:val="00970F89"/>
    <w:rsid w:val="0097150A"/>
    <w:rsid w:val="00971671"/>
    <w:rsid w:val="00971D03"/>
    <w:rsid w:val="0097230A"/>
    <w:rsid w:val="009726BF"/>
    <w:rsid w:val="00972756"/>
    <w:rsid w:val="009732CC"/>
    <w:rsid w:val="00973348"/>
    <w:rsid w:val="009736F2"/>
    <w:rsid w:val="009738F4"/>
    <w:rsid w:val="00973EE4"/>
    <w:rsid w:val="009745A2"/>
    <w:rsid w:val="00974E81"/>
    <w:rsid w:val="009758CE"/>
    <w:rsid w:val="00975A96"/>
    <w:rsid w:val="00975D35"/>
    <w:rsid w:val="00975EC8"/>
    <w:rsid w:val="0097675B"/>
    <w:rsid w:val="00976867"/>
    <w:rsid w:val="00976A04"/>
    <w:rsid w:val="00976DB3"/>
    <w:rsid w:val="00977090"/>
    <w:rsid w:val="009777EA"/>
    <w:rsid w:val="00977A86"/>
    <w:rsid w:val="009802A5"/>
    <w:rsid w:val="0098067E"/>
    <w:rsid w:val="0098133E"/>
    <w:rsid w:val="00981873"/>
    <w:rsid w:val="00981B66"/>
    <w:rsid w:val="009822AE"/>
    <w:rsid w:val="0098237B"/>
    <w:rsid w:val="00982D60"/>
    <w:rsid w:val="00983A6E"/>
    <w:rsid w:val="00983A70"/>
    <w:rsid w:val="00983C3F"/>
    <w:rsid w:val="00983D72"/>
    <w:rsid w:val="009844F9"/>
    <w:rsid w:val="0098453B"/>
    <w:rsid w:val="00984FF2"/>
    <w:rsid w:val="0098514C"/>
    <w:rsid w:val="00985519"/>
    <w:rsid w:val="00985CFB"/>
    <w:rsid w:val="00985E02"/>
    <w:rsid w:val="0098645B"/>
    <w:rsid w:val="00986493"/>
    <w:rsid w:val="00986AF1"/>
    <w:rsid w:val="00986B94"/>
    <w:rsid w:val="00986F60"/>
    <w:rsid w:val="009904FD"/>
    <w:rsid w:val="00990573"/>
    <w:rsid w:val="0099182F"/>
    <w:rsid w:val="00991F6B"/>
    <w:rsid w:val="009923F2"/>
    <w:rsid w:val="009927FC"/>
    <w:rsid w:val="00992989"/>
    <w:rsid w:val="00993544"/>
    <w:rsid w:val="00993682"/>
    <w:rsid w:val="00993AE6"/>
    <w:rsid w:val="00994397"/>
    <w:rsid w:val="00994700"/>
    <w:rsid w:val="00995D40"/>
    <w:rsid w:val="00996775"/>
    <w:rsid w:val="00996CF2"/>
    <w:rsid w:val="009A03AA"/>
    <w:rsid w:val="009A11EF"/>
    <w:rsid w:val="009A1299"/>
    <w:rsid w:val="009A12E3"/>
    <w:rsid w:val="009A1E59"/>
    <w:rsid w:val="009A2420"/>
    <w:rsid w:val="009A2AB6"/>
    <w:rsid w:val="009A3D22"/>
    <w:rsid w:val="009A3D2A"/>
    <w:rsid w:val="009A5491"/>
    <w:rsid w:val="009A5559"/>
    <w:rsid w:val="009A5CB3"/>
    <w:rsid w:val="009A63AD"/>
    <w:rsid w:val="009A666A"/>
    <w:rsid w:val="009A69AD"/>
    <w:rsid w:val="009A73D2"/>
    <w:rsid w:val="009A7879"/>
    <w:rsid w:val="009B1035"/>
    <w:rsid w:val="009B1523"/>
    <w:rsid w:val="009B1540"/>
    <w:rsid w:val="009B1DC3"/>
    <w:rsid w:val="009B27E2"/>
    <w:rsid w:val="009B33F8"/>
    <w:rsid w:val="009B379B"/>
    <w:rsid w:val="009B395E"/>
    <w:rsid w:val="009B3EB6"/>
    <w:rsid w:val="009B3F75"/>
    <w:rsid w:val="009B4740"/>
    <w:rsid w:val="009B4BE7"/>
    <w:rsid w:val="009B4C64"/>
    <w:rsid w:val="009B519E"/>
    <w:rsid w:val="009B6AA5"/>
    <w:rsid w:val="009B71FB"/>
    <w:rsid w:val="009B7217"/>
    <w:rsid w:val="009C01DD"/>
    <w:rsid w:val="009C0266"/>
    <w:rsid w:val="009C08E8"/>
    <w:rsid w:val="009C0F1C"/>
    <w:rsid w:val="009C10E2"/>
    <w:rsid w:val="009C1DED"/>
    <w:rsid w:val="009C241F"/>
    <w:rsid w:val="009C3119"/>
    <w:rsid w:val="009C3556"/>
    <w:rsid w:val="009C4217"/>
    <w:rsid w:val="009C46C1"/>
    <w:rsid w:val="009C4B57"/>
    <w:rsid w:val="009C4ED3"/>
    <w:rsid w:val="009C5657"/>
    <w:rsid w:val="009C6252"/>
    <w:rsid w:val="009C669F"/>
    <w:rsid w:val="009C7011"/>
    <w:rsid w:val="009C7E01"/>
    <w:rsid w:val="009D04AD"/>
    <w:rsid w:val="009D0590"/>
    <w:rsid w:val="009D0EFC"/>
    <w:rsid w:val="009D1437"/>
    <w:rsid w:val="009D1ED7"/>
    <w:rsid w:val="009D2934"/>
    <w:rsid w:val="009D2A95"/>
    <w:rsid w:val="009D3A3C"/>
    <w:rsid w:val="009D3A8C"/>
    <w:rsid w:val="009D3D1F"/>
    <w:rsid w:val="009D46B1"/>
    <w:rsid w:val="009D472C"/>
    <w:rsid w:val="009D59FA"/>
    <w:rsid w:val="009D6487"/>
    <w:rsid w:val="009D6611"/>
    <w:rsid w:val="009D703E"/>
    <w:rsid w:val="009E0372"/>
    <w:rsid w:val="009E03B6"/>
    <w:rsid w:val="009E11BE"/>
    <w:rsid w:val="009E178F"/>
    <w:rsid w:val="009E1C83"/>
    <w:rsid w:val="009E2733"/>
    <w:rsid w:val="009E2E5F"/>
    <w:rsid w:val="009E3030"/>
    <w:rsid w:val="009E3209"/>
    <w:rsid w:val="009E3431"/>
    <w:rsid w:val="009E3895"/>
    <w:rsid w:val="009E3B34"/>
    <w:rsid w:val="009E4000"/>
    <w:rsid w:val="009E45D0"/>
    <w:rsid w:val="009E5A34"/>
    <w:rsid w:val="009E638E"/>
    <w:rsid w:val="009E6445"/>
    <w:rsid w:val="009E7509"/>
    <w:rsid w:val="009E788D"/>
    <w:rsid w:val="009E7CC4"/>
    <w:rsid w:val="009F0305"/>
    <w:rsid w:val="009F2076"/>
    <w:rsid w:val="009F29FD"/>
    <w:rsid w:val="009F2BAB"/>
    <w:rsid w:val="009F3395"/>
    <w:rsid w:val="009F3453"/>
    <w:rsid w:val="009F5166"/>
    <w:rsid w:val="009F58C1"/>
    <w:rsid w:val="009F5A60"/>
    <w:rsid w:val="009F5FA1"/>
    <w:rsid w:val="009F6BF9"/>
    <w:rsid w:val="009F7526"/>
    <w:rsid w:val="009F7ED9"/>
    <w:rsid w:val="00A00547"/>
    <w:rsid w:val="00A00FF5"/>
    <w:rsid w:val="00A0102F"/>
    <w:rsid w:val="00A0162E"/>
    <w:rsid w:val="00A035B9"/>
    <w:rsid w:val="00A036F5"/>
    <w:rsid w:val="00A048CD"/>
    <w:rsid w:val="00A04E39"/>
    <w:rsid w:val="00A04ED4"/>
    <w:rsid w:val="00A05F6C"/>
    <w:rsid w:val="00A05FBE"/>
    <w:rsid w:val="00A06CF7"/>
    <w:rsid w:val="00A07186"/>
    <w:rsid w:val="00A07670"/>
    <w:rsid w:val="00A10F41"/>
    <w:rsid w:val="00A1105C"/>
    <w:rsid w:val="00A11171"/>
    <w:rsid w:val="00A1166F"/>
    <w:rsid w:val="00A11C84"/>
    <w:rsid w:val="00A12574"/>
    <w:rsid w:val="00A1352E"/>
    <w:rsid w:val="00A15082"/>
    <w:rsid w:val="00A15FEE"/>
    <w:rsid w:val="00A16082"/>
    <w:rsid w:val="00A16F12"/>
    <w:rsid w:val="00A17927"/>
    <w:rsid w:val="00A20045"/>
    <w:rsid w:val="00A2091C"/>
    <w:rsid w:val="00A21168"/>
    <w:rsid w:val="00A213E5"/>
    <w:rsid w:val="00A21A74"/>
    <w:rsid w:val="00A21F4F"/>
    <w:rsid w:val="00A22C26"/>
    <w:rsid w:val="00A23CA1"/>
    <w:rsid w:val="00A23D9B"/>
    <w:rsid w:val="00A24000"/>
    <w:rsid w:val="00A2419F"/>
    <w:rsid w:val="00A241CA"/>
    <w:rsid w:val="00A241DC"/>
    <w:rsid w:val="00A24AA3"/>
    <w:rsid w:val="00A24C41"/>
    <w:rsid w:val="00A24CC2"/>
    <w:rsid w:val="00A25024"/>
    <w:rsid w:val="00A25845"/>
    <w:rsid w:val="00A25E11"/>
    <w:rsid w:val="00A263B3"/>
    <w:rsid w:val="00A26488"/>
    <w:rsid w:val="00A267E6"/>
    <w:rsid w:val="00A26D6D"/>
    <w:rsid w:val="00A270BB"/>
    <w:rsid w:val="00A2744A"/>
    <w:rsid w:val="00A277A6"/>
    <w:rsid w:val="00A301BE"/>
    <w:rsid w:val="00A304C2"/>
    <w:rsid w:val="00A30DD1"/>
    <w:rsid w:val="00A31944"/>
    <w:rsid w:val="00A31C8F"/>
    <w:rsid w:val="00A323AC"/>
    <w:rsid w:val="00A3290A"/>
    <w:rsid w:val="00A32C94"/>
    <w:rsid w:val="00A33983"/>
    <w:rsid w:val="00A33C62"/>
    <w:rsid w:val="00A34A29"/>
    <w:rsid w:val="00A3561B"/>
    <w:rsid w:val="00A356A1"/>
    <w:rsid w:val="00A3588D"/>
    <w:rsid w:val="00A35CED"/>
    <w:rsid w:val="00A3652A"/>
    <w:rsid w:val="00A36614"/>
    <w:rsid w:val="00A36DA6"/>
    <w:rsid w:val="00A375F7"/>
    <w:rsid w:val="00A376E6"/>
    <w:rsid w:val="00A40DA5"/>
    <w:rsid w:val="00A41223"/>
    <w:rsid w:val="00A41AAA"/>
    <w:rsid w:val="00A42DF2"/>
    <w:rsid w:val="00A43185"/>
    <w:rsid w:val="00A449D4"/>
    <w:rsid w:val="00A44D59"/>
    <w:rsid w:val="00A4511E"/>
    <w:rsid w:val="00A459AF"/>
    <w:rsid w:val="00A45B24"/>
    <w:rsid w:val="00A45DA9"/>
    <w:rsid w:val="00A45E2F"/>
    <w:rsid w:val="00A45EF8"/>
    <w:rsid w:val="00A4623F"/>
    <w:rsid w:val="00A46540"/>
    <w:rsid w:val="00A46A67"/>
    <w:rsid w:val="00A46A81"/>
    <w:rsid w:val="00A46B09"/>
    <w:rsid w:val="00A46BEB"/>
    <w:rsid w:val="00A47B34"/>
    <w:rsid w:val="00A5064B"/>
    <w:rsid w:val="00A51E89"/>
    <w:rsid w:val="00A525BD"/>
    <w:rsid w:val="00A528F9"/>
    <w:rsid w:val="00A537D8"/>
    <w:rsid w:val="00A54037"/>
    <w:rsid w:val="00A548AB"/>
    <w:rsid w:val="00A54C2E"/>
    <w:rsid w:val="00A54DBF"/>
    <w:rsid w:val="00A55691"/>
    <w:rsid w:val="00A55825"/>
    <w:rsid w:val="00A55BCF"/>
    <w:rsid w:val="00A55F9B"/>
    <w:rsid w:val="00A55FE1"/>
    <w:rsid w:val="00A56308"/>
    <w:rsid w:val="00A563FE"/>
    <w:rsid w:val="00A566CE"/>
    <w:rsid w:val="00A56C4D"/>
    <w:rsid w:val="00A56F28"/>
    <w:rsid w:val="00A57538"/>
    <w:rsid w:val="00A5779E"/>
    <w:rsid w:val="00A579F7"/>
    <w:rsid w:val="00A57BED"/>
    <w:rsid w:val="00A60E1D"/>
    <w:rsid w:val="00A61427"/>
    <w:rsid w:val="00A62BF6"/>
    <w:rsid w:val="00A62C95"/>
    <w:rsid w:val="00A63151"/>
    <w:rsid w:val="00A63E1C"/>
    <w:rsid w:val="00A644BF"/>
    <w:rsid w:val="00A64E0D"/>
    <w:rsid w:val="00A657BA"/>
    <w:rsid w:val="00A67B0C"/>
    <w:rsid w:val="00A67BE2"/>
    <w:rsid w:val="00A70866"/>
    <w:rsid w:val="00A71575"/>
    <w:rsid w:val="00A71C50"/>
    <w:rsid w:val="00A72584"/>
    <w:rsid w:val="00A72DEE"/>
    <w:rsid w:val="00A733E6"/>
    <w:rsid w:val="00A73915"/>
    <w:rsid w:val="00A73F4B"/>
    <w:rsid w:val="00A74264"/>
    <w:rsid w:val="00A742CF"/>
    <w:rsid w:val="00A7441C"/>
    <w:rsid w:val="00A748E1"/>
    <w:rsid w:val="00A76090"/>
    <w:rsid w:val="00A76101"/>
    <w:rsid w:val="00A76836"/>
    <w:rsid w:val="00A769D9"/>
    <w:rsid w:val="00A769EE"/>
    <w:rsid w:val="00A76A2D"/>
    <w:rsid w:val="00A77755"/>
    <w:rsid w:val="00A77AF7"/>
    <w:rsid w:val="00A80318"/>
    <w:rsid w:val="00A80C99"/>
    <w:rsid w:val="00A81C4F"/>
    <w:rsid w:val="00A81CF8"/>
    <w:rsid w:val="00A81EDE"/>
    <w:rsid w:val="00A82187"/>
    <w:rsid w:val="00A82429"/>
    <w:rsid w:val="00A824FB"/>
    <w:rsid w:val="00A837EB"/>
    <w:rsid w:val="00A83A5B"/>
    <w:rsid w:val="00A840A6"/>
    <w:rsid w:val="00A840AF"/>
    <w:rsid w:val="00A8545E"/>
    <w:rsid w:val="00A85EB5"/>
    <w:rsid w:val="00A8628C"/>
    <w:rsid w:val="00A86E22"/>
    <w:rsid w:val="00A87702"/>
    <w:rsid w:val="00A90C43"/>
    <w:rsid w:val="00A90CFC"/>
    <w:rsid w:val="00A90DEF"/>
    <w:rsid w:val="00A91DC4"/>
    <w:rsid w:val="00A91F7B"/>
    <w:rsid w:val="00A92644"/>
    <w:rsid w:val="00A926E0"/>
    <w:rsid w:val="00A935E8"/>
    <w:rsid w:val="00A9457E"/>
    <w:rsid w:val="00A949F4"/>
    <w:rsid w:val="00A94CBF"/>
    <w:rsid w:val="00A94DB5"/>
    <w:rsid w:val="00A94FBC"/>
    <w:rsid w:val="00A95AF1"/>
    <w:rsid w:val="00A96954"/>
    <w:rsid w:val="00A97331"/>
    <w:rsid w:val="00A97456"/>
    <w:rsid w:val="00A97899"/>
    <w:rsid w:val="00AA0CA0"/>
    <w:rsid w:val="00AA1D4E"/>
    <w:rsid w:val="00AA3498"/>
    <w:rsid w:val="00AA34F5"/>
    <w:rsid w:val="00AA460C"/>
    <w:rsid w:val="00AA5530"/>
    <w:rsid w:val="00AA5705"/>
    <w:rsid w:val="00AA58B2"/>
    <w:rsid w:val="00AA611A"/>
    <w:rsid w:val="00AA6204"/>
    <w:rsid w:val="00AA6ECC"/>
    <w:rsid w:val="00AA7983"/>
    <w:rsid w:val="00AB080A"/>
    <w:rsid w:val="00AB127D"/>
    <w:rsid w:val="00AB182A"/>
    <w:rsid w:val="00AB1DD6"/>
    <w:rsid w:val="00AB20A8"/>
    <w:rsid w:val="00AB27A2"/>
    <w:rsid w:val="00AB4C42"/>
    <w:rsid w:val="00AB5F00"/>
    <w:rsid w:val="00AB6083"/>
    <w:rsid w:val="00AB624C"/>
    <w:rsid w:val="00AB64D0"/>
    <w:rsid w:val="00AB760B"/>
    <w:rsid w:val="00AB7613"/>
    <w:rsid w:val="00AB76CC"/>
    <w:rsid w:val="00AB7E4B"/>
    <w:rsid w:val="00AB7F4E"/>
    <w:rsid w:val="00AC01A5"/>
    <w:rsid w:val="00AC185B"/>
    <w:rsid w:val="00AC1972"/>
    <w:rsid w:val="00AC1A30"/>
    <w:rsid w:val="00AC1D43"/>
    <w:rsid w:val="00AC1FA9"/>
    <w:rsid w:val="00AC257A"/>
    <w:rsid w:val="00AC399F"/>
    <w:rsid w:val="00AC3E54"/>
    <w:rsid w:val="00AC4174"/>
    <w:rsid w:val="00AC4B81"/>
    <w:rsid w:val="00AC4B88"/>
    <w:rsid w:val="00AC5228"/>
    <w:rsid w:val="00AC5805"/>
    <w:rsid w:val="00AC5AC6"/>
    <w:rsid w:val="00AC706A"/>
    <w:rsid w:val="00AC70E9"/>
    <w:rsid w:val="00AC73D0"/>
    <w:rsid w:val="00AC75A8"/>
    <w:rsid w:val="00AD01C2"/>
    <w:rsid w:val="00AD0860"/>
    <w:rsid w:val="00AD0A38"/>
    <w:rsid w:val="00AD18AE"/>
    <w:rsid w:val="00AD1C36"/>
    <w:rsid w:val="00AD2CBC"/>
    <w:rsid w:val="00AD2D35"/>
    <w:rsid w:val="00AD34A8"/>
    <w:rsid w:val="00AD3F93"/>
    <w:rsid w:val="00AD450A"/>
    <w:rsid w:val="00AD5B37"/>
    <w:rsid w:val="00AD5BFD"/>
    <w:rsid w:val="00AD5D6F"/>
    <w:rsid w:val="00AD61A0"/>
    <w:rsid w:val="00AD6274"/>
    <w:rsid w:val="00AD63A9"/>
    <w:rsid w:val="00AD661A"/>
    <w:rsid w:val="00AD78BA"/>
    <w:rsid w:val="00AD7E8B"/>
    <w:rsid w:val="00AE0CFA"/>
    <w:rsid w:val="00AE17A5"/>
    <w:rsid w:val="00AE2073"/>
    <w:rsid w:val="00AE2257"/>
    <w:rsid w:val="00AE4224"/>
    <w:rsid w:val="00AE554E"/>
    <w:rsid w:val="00AE57D6"/>
    <w:rsid w:val="00AE5AA3"/>
    <w:rsid w:val="00AE72D6"/>
    <w:rsid w:val="00AE74E8"/>
    <w:rsid w:val="00AE7948"/>
    <w:rsid w:val="00AF061C"/>
    <w:rsid w:val="00AF3678"/>
    <w:rsid w:val="00AF3921"/>
    <w:rsid w:val="00AF3A13"/>
    <w:rsid w:val="00AF3FCE"/>
    <w:rsid w:val="00AF4D6A"/>
    <w:rsid w:val="00AF586F"/>
    <w:rsid w:val="00AF6D3B"/>
    <w:rsid w:val="00AF74F7"/>
    <w:rsid w:val="00AF7952"/>
    <w:rsid w:val="00B0047D"/>
    <w:rsid w:val="00B00D5C"/>
    <w:rsid w:val="00B0172B"/>
    <w:rsid w:val="00B0175B"/>
    <w:rsid w:val="00B01C27"/>
    <w:rsid w:val="00B022D7"/>
    <w:rsid w:val="00B03281"/>
    <w:rsid w:val="00B03ABB"/>
    <w:rsid w:val="00B03FD4"/>
    <w:rsid w:val="00B0446F"/>
    <w:rsid w:val="00B04831"/>
    <w:rsid w:val="00B049B1"/>
    <w:rsid w:val="00B04F67"/>
    <w:rsid w:val="00B05DC2"/>
    <w:rsid w:val="00B06594"/>
    <w:rsid w:val="00B06B73"/>
    <w:rsid w:val="00B06D8D"/>
    <w:rsid w:val="00B06DD3"/>
    <w:rsid w:val="00B06FCC"/>
    <w:rsid w:val="00B079A5"/>
    <w:rsid w:val="00B07A98"/>
    <w:rsid w:val="00B07B6D"/>
    <w:rsid w:val="00B100F1"/>
    <w:rsid w:val="00B1069D"/>
    <w:rsid w:val="00B117E5"/>
    <w:rsid w:val="00B119AA"/>
    <w:rsid w:val="00B123EF"/>
    <w:rsid w:val="00B126AF"/>
    <w:rsid w:val="00B12A55"/>
    <w:rsid w:val="00B12BD6"/>
    <w:rsid w:val="00B12D1A"/>
    <w:rsid w:val="00B1306F"/>
    <w:rsid w:val="00B138E9"/>
    <w:rsid w:val="00B142D0"/>
    <w:rsid w:val="00B143E9"/>
    <w:rsid w:val="00B145C3"/>
    <w:rsid w:val="00B14F40"/>
    <w:rsid w:val="00B151C6"/>
    <w:rsid w:val="00B1523B"/>
    <w:rsid w:val="00B15443"/>
    <w:rsid w:val="00B163C8"/>
    <w:rsid w:val="00B167CB"/>
    <w:rsid w:val="00B16B76"/>
    <w:rsid w:val="00B16C22"/>
    <w:rsid w:val="00B16D19"/>
    <w:rsid w:val="00B17341"/>
    <w:rsid w:val="00B17450"/>
    <w:rsid w:val="00B176AE"/>
    <w:rsid w:val="00B2008D"/>
    <w:rsid w:val="00B202C0"/>
    <w:rsid w:val="00B2081E"/>
    <w:rsid w:val="00B20874"/>
    <w:rsid w:val="00B20F51"/>
    <w:rsid w:val="00B211E0"/>
    <w:rsid w:val="00B21632"/>
    <w:rsid w:val="00B21948"/>
    <w:rsid w:val="00B220DC"/>
    <w:rsid w:val="00B22C3A"/>
    <w:rsid w:val="00B22D82"/>
    <w:rsid w:val="00B22DAD"/>
    <w:rsid w:val="00B22F32"/>
    <w:rsid w:val="00B23CC3"/>
    <w:rsid w:val="00B23DB5"/>
    <w:rsid w:val="00B23EEF"/>
    <w:rsid w:val="00B24450"/>
    <w:rsid w:val="00B2529A"/>
    <w:rsid w:val="00B25943"/>
    <w:rsid w:val="00B25CCE"/>
    <w:rsid w:val="00B25DD4"/>
    <w:rsid w:val="00B26D63"/>
    <w:rsid w:val="00B26E63"/>
    <w:rsid w:val="00B27FD9"/>
    <w:rsid w:val="00B30288"/>
    <w:rsid w:val="00B30309"/>
    <w:rsid w:val="00B30344"/>
    <w:rsid w:val="00B310F3"/>
    <w:rsid w:val="00B317DC"/>
    <w:rsid w:val="00B31AC7"/>
    <w:rsid w:val="00B31E32"/>
    <w:rsid w:val="00B32CD2"/>
    <w:rsid w:val="00B3362D"/>
    <w:rsid w:val="00B33CF3"/>
    <w:rsid w:val="00B34E41"/>
    <w:rsid w:val="00B35F2E"/>
    <w:rsid w:val="00B3796F"/>
    <w:rsid w:val="00B4028A"/>
    <w:rsid w:val="00B40702"/>
    <w:rsid w:val="00B40B82"/>
    <w:rsid w:val="00B41333"/>
    <w:rsid w:val="00B4230A"/>
    <w:rsid w:val="00B4297A"/>
    <w:rsid w:val="00B42D15"/>
    <w:rsid w:val="00B42EC9"/>
    <w:rsid w:val="00B442A4"/>
    <w:rsid w:val="00B446EA"/>
    <w:rsid w:val="00B451F1"/>
    <w:rsid w:val="00B46182"/>
    <w:rsid w:val="00B46B2F"/>
    <w:rsid w:val="00B47605"/>
    <w:rsid w:val="00B50389"/>
    <w:rsid w:val="00B50589"/>
    <w:rsid w:val="00B50D6A"/>
    <w:rsid w:val="00B51370"/>
    <w:rsid w:val="00B520BC"/>
    <w:rsid w:val="00B52CDE"/>
    <w:rsid w:val="00B52D07"/>
    <w:rsid w:val="00B54CB4"/>
    <w:rsid w:val="00B55656"/>
    <w:rsid w:val="00B55ABF"/>
    <w:rsid w:val="00B55FB8"/>
    <w:rsid w:val="00B561A4"/>
    <w:rsid w:val="00B563F0"/>
    <w:rsid w:val="00B565B1"/>
    <w:rsid w:val="00B56619"/>
    <w:rsid w:val="00B56CB4"/>
    <w:rsid w:val="00B56D2C"/>
    <w:rsid w:val="00B574EB"/>
    <w:rsid w:val="00B57841"/>
    <w:rsid w:val="00B606F2"/>
    <w:rsid w:val="00B61B80"/>
    <w:rsid w:val="00B63007"/>
    <w:rsid w:val="00B637D2"/>
    <w:rsid w:val="00B63833"/>
    <w:rsid w:val="00B63E0A"/>
    <w:rsid w:val="00B64839"/>
    <w:rsid w:val="00B65F3F"/>
    <w:rsid w:val="00B67452"/>
    <w:rsid w:val="00B70BAF"/>
    <w:rsid w:val="00B70E0D"/>
    <w:rsid w:val="00B713AF"/>
    <w:rsid w:val="00B7223C"/>
    <w:rsid w:val="00B72991"/>
    <w:rsid w:val="00B72C21"/>
    <w:rsid w:val="00B730A9"/>
    <w:rsid w:val="00B733C7"/>
    <w:rsid w:val="00B734E0"/>
    <w:rsid w:val="00B7369D"/>
    <w:rsid w:val="00B75660"/>
    <w:rsid w:val="00B7644A"/>
    <w:rsid w:val="00B773F4"/>
    <w:rsid w:val="00B776FC"/>
    <w:rsid w:val="00B77E94"/>
    <w:rsid w:val="00B77EE4"/>
    <w:rsid w:val="00B80643"/>
    <w:rsid w:val="00B8171D"/>
    <w:rsid w:val="00B819A8"/>
    <w:rsid w:val="00B826A7"/>
    <w:rsid w:val="00B82CA0"/>
    <w:rsid w:val="00B82DE5"/>
    <w:rsid w:val="00B83264"/>
    <w:rsid w:val="00B836EB"/>
    <w:rsid w:val="00B83A81"/>
    <w:rsid w:val="00B83D09"/>
    <w:rsid w:val="00B848DF"/>
    <w:rsid w:val="00B85949"/>
    <w:rsid w:val="00B86466"/>
    <w:rsid w:val="00B8689D"/>
    <w:rsid w:val="00B86D36"/>
    <w:rsid w:val="00B900D3"/>
    <w:rsid w:val="00B9020A"/>
    <w:rsid w:val="00B9093D"/>
    <w:rsid w:val="00B909BE"/>
    <w:rsid w:val="00B90ABC"/>
    <w:rsid w:val="00B91059"/>
    <w:rsid w:val="00B91FF6"/>
    <w:rsid w:val="00B926D5"/>
    <w:rsid w:val="00B930F3"/>
    <w:rsid w:val="00B93547"/>
    <w:rsid w:val="00B93AFE"/>
    <w:rsid w:val="00B940D2"/>
    <w:rsid w:val="00B94748"/>
    <w:rsid w:val="00B963FB"/>
    <w:rsid w:val="00B9645A"/>
    <w:rsid w:val="00B965F3"/>
    <w:rsid w:val="00B96833"/>
    <w:rsid w:val="00B968A2"/>
    <w:rsid w:val="00B96F1B"/>
    <w:rsid w:val="00B97079"/>
    <w:rsid w:val="00BA03B9"/>
    <w:rsid w:val="00BA03FE"/>
    <w:rsid w:val="00BA13EC"/>
    <w:rsid w:val="00BA13F8"/>
    <w:rsid w:val="00BA156D"/>
    <w:rsid w:val="00BA1D67"/>
    <w:rsid w:val="00BA2215"/>
    <w:rsid w:val="00BA227A"/>
    <w:rsid w:val="00BA34BC"/>
    <w:rsid w:val="00BA3B65"/>
    <w:rsid w:val="00BA3BD8"/>
    <w:rsid w:val="00BA3DE2"/>
    <w:rsid w:val="00BA44A2"/>
    <w:rsid w:val="00BA483C"/>
    <w:rsid w:val="00BA4DC6"/>
    <w:rsid w:val="00BA4FDF"/>
    <w:rsid w:val="00BA5565"/>
    <w:rsid w:val="00BA5600"/>
    <w:rsid w:val="00BA65E3"/>
    <w:rsid w:val="00BA673A"/>
    <w:rsid w:val="00BA6CFC"/>
    <w:rsid w:val="00BA6DCF"/>
    <w:rsid w:val="00BA751C"/>
    <w:rsid w:val="00BB07AB"/>
    <w:rsid w:val="00BB0997"/>
    <w:rsid w:val="00BB0B83"/>
    <w:rsid w:val="00BB140F"/>
    <w:rsid w:val="00BB1F7A"/>
    <w:rsid w:val="00BB274C"/>
    <w:rsid w:val="00BB3686"/>
    <w:rsid w:val="00BB3A2C"/>
    <w:rsid w:val="00BB3A9F"/>
    <w:rsid w:val="00BB3BC9"/>
    <w:rsid w:val="00BB44A3"/>
    <w:rsid w:val="00BB46A6"/>
    <w:rsid w:val="00BB4EA2"/>
    <w:rsid w:val="00BB5104"/>
    <w:rsid w:val="00BB5114"/>
    <w:rsid w:val="00BB589A"/>
    <w:rsid w:val="00BB64D2"/>
    <w:rsid w:val="00BB73A7"/>
    <w:rsid w:val="00BC077B"/>
    <w:rsid w:val="00BC1196"/>
    <w:rsid w:val="00BC16B2"/>
    <w:rsid w:val="00BC3583"/>
    <w:rsid w:val="00BC38DA"/>
    <w:rsid w:val="00BC3E12"/>
    <w:rsid w:val="00BC477E"/>
    <w:rsid w:val="00BC48AF"/>
    <w:rsid w:val="00BC5042"/>
    <w:rsid w:val="00BC508D"/>
    <w:rsid w:val="00BC6B96"/>
    <w:rsid w:val="00BC7A5D"/>
    <w:rsid w:val="00BC7B1A"/>
    <w:rsid w:val="00BD058F"/>
    <w:rsid w:val="00BD12EA"/>
    <w:rsid w:val="00BD140C"/>
    <w:rsid w:val="00BD1A1D"/>
    <w:rsid w:val="00BD1F29"/>
    <w:rsid w:val="00BD23FA"/>
    <w:rsid w:val="00BD3923"/>
    <w:rsid w:val="00BD48AD"/>
    <w:rsid w:val="00BD4FBE"/>
    <w:rsid w:val="00BD50BA"/>
    <w:rsid w:val="00BD5AA4"/>
    <w:rsid w:val="00BD5AD3"/>
    <w:rsid w:val="00BD6A29"/>
    <w:rsid w:val="00BD6DA8"/>
    <w:rsid w:val="00BD7583"/>
    <w:rsid w:val="00BD79C5"/>
    <w:rsid w:val="00BD7B6D"/>
    <w:rsid w:val="00BE0066"/>
    <w:rsid w:val="00BE00EF"/>
    <w:rsid w:val="00BE096A"/>
    <w:rsid w:val="00BE12EC"/>
    <w:rsid w:val="00BE199B"/>
    <w:rsid w:val="00BE1DA6"/>
    <w:rsid w:val="00BE1DB8"/>
    <w:rsid w:val="00BE1E0B"/>
    <w:rsid w:val="00BE296F"/>
    <w:rsid w:val="00BE3195"/>
    <w:rsid w:val="00BE418B"/>
    <w:rsid w:val="00BE52FA"/>
    <w:rsid w:val="00BE551E"/>
    <w:rsid w:val="00BE56E5"/>
    <w:rsid w:val="00BE6655"/>
    <w:rsid w:val="00BE7AC9"/>
    <w:rsid w:val="00BF0ABA"/>
    <w:rsid w:val="00BF16A9"/>
    <w:rsid w:val="00BF1AC7"/>
    <w:rsid w:val="00BF20F4"/>
    <w:rsid w:val="00BF2676"/>
    <w:rsid w:val="00BF3422"/>
    <w:rsid w:val="00BF386C"/>
    <w:rsid w:val="00BF3C13"/>
    <w:rsid w:val="00BF3D44"/>
    <w:rsid w:val="00BF3DF9"/>
    <w:rsid w:val="00BF4225"/>
    <w:rsid w:val="00BF4246"/>
    <w:rsid w:val="00BF452B"/>
    <w:rsid w:val="00BF4E28"/>
    <w:rsid w:val="00BF4EA2"/>
    <w:rsid w:val="00BF50F8"/>
    <w:rsid w:val="00BF5E0E"/>
    <w:rsid w:val="00BF662E"/>
    <w:rsid w:val="00BF6CD0"/>
    <w:rsid w:val="00BF6FF6"/>
    <w:rsid w:val="00BF7293"/>
    <w:rsid w:val="00C0004D"/>
    <w:rsid w:val="00C006E4"/>
    <w:rsid w:val="00C0106F"/>
    <w:rsid w:val="00C025AB"/>
    <w:rsid w:val="00C0296E"/>
    <w:rsid w:val="00C02FA1"/>
    <w:rsid w:val="00C02FC2"/>
    <w:rsid w:val="00C03599"/>
    <w:rsid w:val="00C03C36"/>
    <w:rsid w:val="00C04199"/>
    <w:rsid w:val="00C04397"/>
    <w:rsid w:val="00C046CB"/>
    <w:rsid w:val="00C04B45"/>
    <w:rsid w:val="00C04CC7"/>
    <w:rsid w:val="00C0524A"/>
    <w:rsid w:val="00C056EE"/>
    <w:rsid w:val="00C05ECF"/>
    <w:rsid w:val="00C05F51"/>
    <w:rsid w:val="00C06C32"/>
    <w:rsid w:val="00C10F41"/>
    <w:rsid w:val="00C10FD5"/>
    <w:rsid w:val="00C114F8"/>
    <w:rsid w:val="00C11AFA"/>
    <w:rsid w:val="00C12E1F"/>
    <w:rsid w:val="00C132CA"/>
    <w:rsid w:val="00C13412"/>
    <w:rsid w:val="00C13833"/>
    <w:rsid w:val="00C145C5"/>
    <w:rsid w:val="00C15E05"/>
    <w:rsid w:val="00C166F1"/>
    <w:rsid w:val="00C16859"/>
    <w:rsid w:val="00C16898"/>
    <w:rsid w:val="00C17642"/>
    <w:rsid w:val="00C179A1"/>
    <w:rsid w:val="00C17C3C"/>
    <w:rsid w:val="00C20495"/>
    <w:rsid w:val="00C20D83"/>
    <w:rsid w:val="00C216C7"/>
    <w:rsid w:val="00C218F8"/>
    <w:rsid w:val="00C2200E"/>
    <w:rsid w:val="00C2225B"/>
    <w:rsid w:val="00C227BE"/>
    <w:rsid w:val="00C22A3C"/>
    <w:rsid w:val="00C24627"/>
    <w:rsid w:val="00C246BF"/>
    <w:rsid w:val="00C24C9F"/>
    <w:rsid w:val="00C256C4"/>
    <w:rsid w:val="00C2596A"/>
    <w:rsid w:val="00C25C65"/>
    <w:rsid w:val="00C25F86"/>
    <w:rsid w:val="00C260F0"/>
    <w:rsid w:val="00C2659C"/>
    <w:rsid w:val="00C26869"/>
    <w:rsid w:val="00C26B69"/>
    <w:rsid w:val="00C26CC3"/>
    <w:rsid w:val="00C26E0F"/>
    <w:rsid w:val="00C27364"/>
    <w:rsid w:val="00C27C7C"/>
    <w:rsid w:val="00C30D82"/>
    <w:rsid w:val="00C311B4"/>
    <w:rsid w:val="00C31261"/>
    <w:rsid w:val="00C3179C"/>
    <w:rsid w:val="00C319F3"/>
    <w:rsid w:val="00C32645"/>
    <w:rsid w:val="00C3272C"/>
    <w:rsid w:val="00C32C76"/>
    <w:rsid w:val="00C330F4"/>
    <w:rsid w:val="00C34C98"/>
    <w:rsid w:val="00C359FD"/>
    <w:rsid w:val="00C35F88"/>
    <w:rsid w:val="00C3614C"/>
    <w:rsid w:val="00C36918"/>
    <w:rsid w:val="00C374CC"/>
    <w:rsid w:val="00C37B2B"/>
    <w:rsid w:val="00C407B4"/>
    <w:rsid w:val="00C40974"/>
    <w:rsid w:val="00C409EE"/>
    <w:rsid w:val="00C414C6"/>
    <w:rsid w:val="00C42E0C"/>
    <w:rsid w:val="00C42FE9"/>
    <w:rsid w:val="00C438A7"/>
    <w:rsid w:val="00C43E0B"/>
    <w:rsid w:val="00C43E5B"/>
    <w:rsid w:val="00C4524A"/>
    <w:rsid w:val="00C461BF"/>
    <w:rsid w:val="00C462AB"/>
    <w:rsid w:val="00C463BE"/>
    <w:rsid w:val="00C46A2D"/>
    <w:rsid w:val="00C4751B"/>
    <w:rsid w:val="00C47856"/>
    <w:rsid w:val="00C47A5F"/>
    <w:rsid w:val="00C47BCB"/>
    <w:rsid w:val="00C47EA2"/>
    <w:rsid w:val="00C47F6F"/>
    <w:rsid w:val="00C5013D"/>
    <w:rsid w:val="00C5052C"/>
    <w:rsid w:val="00C52109"/>
    <w:rsid w:val="00C525B2"/>
    <w:rsid w:val="00C52829"/>
    <w:rsid w:val="00C52938"/>
    <w:rsid w:val="00C52A60"/>
    <w:rsid w:val="00C52EF3"/>
    <w:rsid w:val="00C52FAB"/>
    <w:rsid w:val="00C5300B"/>
    <w:rsid w:val="00C53CBD"/>
    <w:rsid w:val="00C53F27"/>
    <w:rsid w:val="00C558B5"/>
    <w:rsid w:val="00C55B26"/>
    <w:rsid w:val="00C55C69"/>
    <w:rsid w:val="00C56657"/>
    <w:rsid w:val="00C566D8"/>
    <w:rsid w:val="00C56B3C"/>
    <w:rsid w:val="00C56E32"/>
    <w:rsid w:val="00C5700C"/>
    <w:rsid w:val="00C57137"/>
    <w:rsid w:val="00C600DD"/>
    <w:rsid w:val="00C60142"/>
    <w:rsid w:val="00C60C0B"/>
    <w:rsid w:val="00C61860"/>
    <w:rsid w:val="00C61965"/>
    <w:rsid w:val="00C61F07"/>
    <w:rsid w:val="00C62093"/>
    <w:rsid w:val="00C62CA7"/>
    <w:rsid w:val="00C632CA"/>
    <w:rsid w:val="00C6358F"/>
    <w:rsid w:val="00C63592"/>
    <w:rsid w:val="00C64725"/>
    <w:rsid w:val="00C64AA7"/>
    <w:rsid w:val="00C64D42"/>
    <w:rsid w:val="00C6504E"/>
    <w:rsid w:val="00C662C0"/>
    <w:rsid w:val="00C67222"/>
    <w:rsid w:val="00C67323"/>
    <w:rsid w:val="00C67613"/>
    <w:rsid w:val="00C677FB"/>
    <w:rsid w:val="00C67E3F"/>
    <w:rsid w:val="00C70632"/>
    <w:rsid w:val="00C70A30"/>
    <w:rsid w:val="00C719A5"/>
    <w:rsid w:val="00C721DE"/>
    <w:rsid w:val="00C722FA"/>
    <w:rsid w:val="00C72390"/>
    <w:rsid w:val="00C72405"/>
    <w:rsid w:val="00C72E16"/>
    <w:rsid w:val="00C73C90"/>
    <w:rsid w:val="00C73FF7"/>
    <w:rsid w:val="00C7412A"/>
    <w:rsid w:val="00C7465B"/>
    <w:rsid w:val="00C748D4"/>
    <w:rsid w:val="00C74E4B"/>
    <w:rsid w:val="00C7565D"/>
    <w:rsid w:val="00C75A81"/>
    <w:rsid w:val="00C76460"/>
    <w:rsid w:val="00C76A8C"/>
    <w:rsid w:val="00C77035"/>
    <w:rsid w:val="00C775F3"/>
    <w:rsid w:val="00C800DA"/>
    <w:rsid w:val="00C81EB2"/>
    <w:rsid w:val="00C81F37"/>
    <w:rsid w:val="00C82157"/>
    <w:rsid w:val="00C82EB0"/>
    <w:rsid w:val="00C833A3"/>
    <w:rsid w:val="00C835A1"/>
    <w:rsid w:val="00C838C0"/>
    <w:rsid w:val="00C83BDD"/>
    <w:rsid w:val="00C83EEE"/>
    <w:rsid w:val="00C84601"/>
    <w:rsid w:val="00C85214"/>
    <w:rsid w:val="00C861C2"/>
    <w:rsid w:val="00C86635"/>
    <w:rsid w:val="00C871A8"/>
    <w:rsid w:val="00C873B8"/>
    <w:rsid w:val="00C87551"/>
    <w:rsid w:val="00C90167"/>
    <w:rsid w:val="00C9065D"/>
    <w:rsid w:val="00C90A64"/>
    <w:rsid w:val="00C912A5"/>
    <w:rsid w:val="00C91D5E"/>
    <w:rsid w:val="00C9202D"/>
    <w:rsid w:val="00C9240D"/>
    <w:rsid w:val="00C9248E"/>
    <w:rsid w:val="00C935E9"/>
    <w:rsid w:val="00C93662"/>
    <w:rsid w:val="00C93E5C"/>
    <w:rsid w:val="00C946D1"/>
    <w:rsid w:val="00C95466"/>
    <w:rsid w:val="00C96215"/>
    <w:rsid w:val="00C97269"/>
    <w:rsid w:val="00C976BD"/>
    <w:rsid w:val="00C976DC"/>
    <w:rsid w:val="00CA023B"/>
    <w:rsid w:val="00CA04B9"/>
    <w:rsid w:val="00CA08C6"/>
    <w:rsid w:val="00CA10EF"/>
    <w:rsid w:val="00CA1889"/>
    <w:rsid w:val="00CA1EA3"/>
    <w:rsid w:val="00CA2837"/>
    <w:rsid w:val="00CA29EE"/>
    <w:rsid w:val="00CA2A0B"/>
    <w:rsid w:val="00CA3A7E"/>
    <w:rsid w:val="00CA3FDA"/>
    <w:rsid w:val="00CA40DF"/>
    <w:rsid w:val="00CA432E"/>
    <w:rsid w:val="00CA59BA"/>
    <w:rsid w:val="00CA6EF1"/>
    <w:rsid w:val="00CA7173"/>
    <w:rsid w:val="00CB012C"/>
    <w:rsid w:val="00CB0443"/>
    <w:rsid w:val="00CB108C"/>
    <w:rsid w:val="00CB1493"/>
    <w:rsid w:val="00CB2E59"/>
    <w:rsid w:val="00CB3468"/>
    <w:rsid w:val="00CB381E"/>
    <w:rsid w:val="00CB3923"/>
    <w:rsid w:val="00CB3D33"/>
    <w:rsid w:val="00CB46FD"/>
    <w:rsid w:val="00CB4B60"/>
    <w:rsid w:val="00CB4D91"/>
    <w:rsid w:val="00CB4EAB"/>
    <w:rsid w:val="00CB5D3C"/>
    <w:rsid w:val="00CB72E4"/>
    <w:rsid w:val="00CB7741"/>
    <w:rsid w:val="00CB7B21"/>
    <w:rsid w:val="00CB7C84"/>
    <w:rsid w:val="00CB7C89"/>
    <w:rsid w:val="00CC17A1"/>
    <w:rsid w:val="00CC1F7F"/>
    <w:rsid w:val="00CC313B"/>
    <w:rsid w:val="00CC3875"/>
    <w:rsid w:val="00CC3C2D"/>
    <w:rsid w:val="00CC3E23"/>
    <w:rsid w:val="00CC5360"/>
    <w:rsid w:val="00CC5E8E"/>
    <w:rsid w:val="00CC6320"/>
    <w:rsid w:val="00CC6474"/>
    <w:rsid w:val="00CC7519"/>
    <w:rsid w:val="00CD0C9A"/>
    <w:rsid w:val="00CD167C"/>
    <w:rsid w:val="00CD216D"/>
    <w:rsid w:val="00CD2BB2"/>
    <w:rsid w:val="00CD4953"/>
    <w:rsid w:val="00CD5A30"/>
    <w:rsid w:val="00CD6B4E"/>
    <w:rsid w:val="00CD7667"/>
    <w:rsid w:val="00CD7983"/>
    <w:rsid w:val="00CD7A0B"/>
    <w:rsid w:val="00CD7D59"/>
    <w:rsid w:val="00CD7F6D"/>
    <w:rsid w:val="00CD7FBC"/>
    <w:rsid w:val="00CE08F3"/>
    <w:rsid w:val="00CE0B5F"/>
    <w:rsid w:val="00CE0F2A"/>
    <w:rsid w:val="00CE1858"/>
    <w:rsid w:val="00CE1EDE"/>
    <w:rsid w:val="00CE23D5"/>
    <w:rsid w:val="00CE3185"/>
    <w:rsid w:val="00CE3445"/>
    <w:rsid w:val="00CE3BDE"/>
    <w:rsid w:val="00CE5155"/>
    <w:rsid w:val="00CE576F"/>
    <w:rsid w:val="00CE61FC"/>
    <w:rsid w:val="00CE6C07"/>
    <w:rsid w:val="00CE6C50"/>
    <w:rsid w:val="00CE74E9"/>
    <w:rsid w:val="00CE77BA"/>
    <w:rsid w:val="00CE7C3A"/>
    <w:rsid w:val="00CE7C5F"/>
    <w:rsid w:val="00CF04EC"/>
    <w:rsid w:val="00CF09FD"/>
    <w:rsid w:val="00CF12B0"/>
    <w:rsid w:val="00CF1366"/>
    <w:rsid w:val="00CF1401"/>
    <w:rsid w:val="00CF171E"/>
    <w:rsid w:val="00CF283B"/>
    <w:rsid w:val="00CF4526"/>
    <w:rsid w:val="00CF4B45"/>
    <w:rsid w:val="00CF5A41"/>
    <w:rsid w:val="00CF6293"/>
    <w:rsid w:val="00D0028A"/>
    <w:rsid w:val="00D002AD"/>
    <w:rsid w:val="00D003A5"/>
    <w:rsid w:val="00D01DF5"/>
    <w:rsid w:val="00D02607"/>
    <w:rsid w:val="00D02C0C"/>
    <w:rsid w:val="00D0314C"/>
    <w:rsid w:val="00D0350C"/>
    <w:rsid w:val="00D03A55"/>
    <w:rsid w:val="00D03C1B"/>
    <w:rsid w:val="00D04E9E"/>
    <w:rsid w:val="00D05664"/>
    <w:rsid w:val="00D059D1"/>
    <w:rsid w:val="00D0680A"/>
    <w:rsid w:val="00D06B40"/>
    <w:rsid w:val="00D072BA"/>
    <w:rsid w:val="00D0778E"/>
    <w:rsid w:val="00D07F2A"/>
    <w:rsid w:val="00D10453"/>
    <w:rsid w:val="00D1148C"/>
    <w:rsid w:val="00D1176A"/>
    <w:rsid w:val="00D11A68"/>
    <w:rsid w:val="00D121B6"/>
    <w:rsid w:val="00D124F3"/>
    <w:rsid w:val="00D1270A"/>
    <w:rsid w:val="00D12926"/>
    <w:rsid w:val="00D13B15"/>
    <w:rsid w:val="00D148BB"/>
    <w:rsid w:val="00D14AE6"/>
    <w:rsid w:val="00D14D11"/>
    <w:rsid w:val="00D15850"/>
    <w:rsid w:val="00D15EF2"/>
    <w:rsid w:val="00D160BF"/>
    <w:rsid w:val="00D168B0"/>
    <w:rsid w:val="00D17E16"/>
    <w:rsid w:val="00D17F44"/>
    <w:rsid w:val="00D20437"/>
    <w:rsid w:val="00D206BE"/>
    <w:rsid w:val="00D22870"/>
    <w:rsid w:val="00D24366"/>
    <w:rsid w:val="00D2495E"/>
    <w:rsid w:val="00D24A8D"/>
    <w:rsid w:val="00D24AB8"/>
    <w:rsid w:val="00D24C5C"/>
    <w:rsid w:val="00D24F8B"/>
    <w:rsid w:val="00D25460"/>
    <w:rsid w:val="00D27CF2"/>
    <w:rsid w:val="00D303CF"/>
    <w:rsid w:val="00D30E09"/>
    <w:rsid w:val="00D31C14"/>
    <w:rsid w:val="00D32461"/>
    <w:rsid w:val="00D32AD0"/>
    <w:rsid w:val="00D32BFA"/>
    <w:rsid w:val="00D33A7E"/>
    <w:rsid w:val="00D342C9"/>
    <w:rsid w:val="00D34A5C"/>
    <w:rsid w:val="00D34EF5"/>
    <w:rsid w:val="00D35746"/>
    <w:rsid w:val="00D35C09"/>
    <w:rsid w:val="00D360C0"/>
    <w:rsid w:val="00D36685"/>
    <w:rsid w:val="00D36726"/>
    <w:rsid w:val="00D3676D"/>
    <w:rsid w:val="00D36C54"/>
    <w:rsid w:val="00D36E99"/>
    <w:rsid w:val="00D3725C"/>
    <w:rsid w:val="00D378AC"/>
    <w:rsid w:val="00D40A8D"/>
    <w:rsid w:val="00D41A4E"/>
    <w:rsid w:val="00D4388E"/>
    <w:rsid w:val="00D43C6F"/>
    <w:rsid w:val="00D44C99"/>
    <w:rsid w:val="00D44DAE"/>
    <w:rsid w:val="00D44ECD"/>
    <w:rsid w:val="00D44F98"/>
    <w:rsid w:val="00D45506"/>
    <w:rsid w:val="00D45E83"/>
    <w:rsid w:val="00D462D3"/>
    <w:rsid w:val="00D465B9"/>
    <w:rsid w:val="00D4677E"/>
    <w:rsid w:val="00D46C83"/>
    <w:rsid w:val="00D4710D"/>
    <w:rsid w:val="00D47859"/>
    <w:rsid w:val="00D5015D"/>
    <w:rsid w:val="00D50A0B"/>
    <w:rsid w:val="00D510B7"/>
    <w:rsid w:val="00D52158"/>
    <w:rsid w:val="00D52334"/>
    <w:rsid w:val="00D523D3"/>
    <w:rsid w:val="00D526E3"/>
    <w:rsid w:val="00D5373A"/>
    <w:rsid w:val="00D53D55"/>
    <w:rsid w:val="00D5427C"/>
    <w:rsid w:val="00D5442A"/>
    <w:rsid w:val="00D545B1"/>
    <w:rsid w:val="00D55006"/>
    <w:rsid w:val="00D554CB"/>
    <w:rsid w:val="00D55696"/>
    <w:rsid w:val="00D55827"/>
    <w:rsid w:val="00D56266"/>
    <w:rsid w:val="00D5691A"/>
    <w:rsid w:val="00D5743E"/>
    <w:rsid w:val="00D57C16"/>
    <w:rsid w:val="00D57CCB"/>
    <w:rsid w:val="00D607EE"/>
    <w:rsid w:val="00D609CE"/>
    <w:rsid w:val="00D60B82"/>
    <w:rsid w:val="00D60F28"/>
    <w:rsid w:val="00D61998"/>
    <w:rsid w:val="00D622F7"/>
    <w:rsid w:val="00D62BA2"/>
    <w:rsid w:val="00D6350C"/>
    <w:rsid w:val="00D6365B"/>
    <w:rsid w:val="00D6479F"/>
    <w:rsid w:val="00D64975"/>
    <w:rsid w:val="00D64CE4"/>
    <w:rsid w:val="00D651AF"/>
    <w:rsid w:val="00D65B2F"/>
    <w:rsid w:val="00D66078"/>
    <w:rsid w:val="00D6665A"/>
    <w:rsid w:val="00D6698B"/>
    <w:rsid w:val="00D66E15"/>
    <w:rsid w:val="00D67147"/>
    <w:rsid w:val="00D7047C"/>
    <w:rsid w:val="00D7138E"/>
    <w:rsid w:val="00D716FA"/>
    <w:rsid w:val="00D72E80"/>
    <w:rsid w:val="00D732A3"/>
    <w:rsid w:val="00D73FBD"/>
    <w:rsid w:val="00D741E6"/>
    <w:rsid w:val="00D74211"/>
    <w:rsid w:val="00D74C11"/>
    <w:rsid w:val="00D7555C"/>
    <w:rsid w:val="00D76189"/>
    <w:rsid w:val="00D76A01"/>
    <w:rsid w:val="00D76AEE"/>
    <w:rsid w:val="00D76E74"/>
    <w:rsid w:val="00D774DF"/>
    <w:rsid w:val="00D77B38"/>
    <w:rsid w:val="00D80626"/>
    <w:rsid w:val="00D81175"/>
    <w:rsid w:val="00D822D4"/>
    <w:rsid w:val="00D8235C"/>
    <w:rsid w:val="00D83133"/>
    <w:rsid w:val="00D83201"/>
    <w:rsid w:val="00D832D4"/>
    <w:rsid w:val="00D83A4D"/>
    <w:rsid w:val="00D845C5"/>
    <w:rsid w:val="00D846D5"/>
    <w:rsid w:val="00D84736"/>
    <w:rsid w:val="00D8542A"/>
    <w:rsid w:val="00D85B0E"/>
    <w:rsid w:val="00D866B6"/>
    <w:rsid w:val="00D8704E"/>
    <w:rsid w:val="00D87B4C"/>
    <w:rsid w:val="00D90184"/>
    <w:rsid w:val="00D903CD"/>
    <w:rsid w:val="00D90BF7"/>
    <w:rsid w:val="00D9205D"/>
    <w:rsid w:val="00D92F67"/>
    <w:rsid w:val="00D930F9"/>
    <w:rsid w:val="00D9525D"/>
    <w:rsid w:val="00D95F40"/>
    <w:rsid w:val="00D9615A"/>
    <w:rsid w:val="00DA097A"/>
    <w:rsid w:val="00DA0E64"/>
    <w:rsid w:val="00DA1007"/>
    <w:rsid w:val="00DA16C2"/>
    <w:rsid w:val="00DA1E9D"/>
    <w:rsid w:val="00DA271B"/>
    <w:rsid w:val="00DA2B5F"/>
    <w:rsid w:val="00DA2B8E"/>
    <w:rsid w:val="00DA34F7"/>
    <w:rsid w:val="00DA3A6C"/>
    <w:rsid w:val="00DA3BE8"/>
    <w:rsid w:val="00DA409A"/>
    <w:rsid w:val="00DA4FE6"/>
    <w:rsid w:val="00DA52BE"/>
    <w:rsid w:val="00DA52CC"/>
    <w:rsid w:val="00DA58BF"/>
    <w:rsid w:val="00DA5C99"/>
    <w:rsid w:val="00DA6468"/>
    <w:rsid w:val="00DA7C64"/>
    <w:rsid w:val="00DB0D8D"/>
    <w:rsid w:val="00DB116D"/>
    <w:rsid w:val="00DB1408"/>
    <w:rsid w:val="00DB1BE4"/>
    <w:rsid w:val="00DB1F36"/>
    <w:rsid w:val="00DB29D3"/>
    <w:rsid w:val="00DB30E5"/>
    <w:rsid w:val="00DB4129"/>
    <w:rsid w:val="00DB444C"/>
    <w:rsid w:val="00DB44A7"/>
    <w:rsid w:val="00DB4A79"/>
    <w:rsid w:val="00DB4D42"/>
    <w:rsid w:val="00DB4F3C"/>
    <w:rsid w:val="00DB61FF"/>
    <w:rsid w:val="00DB62A6"/>
    <w:rsid w:val="00DB6735"/>
    <w:rsid w:val="00DB6742"/>
    <w:rsid w:val="00DB79CD"/>
    <w:rsid w:val="00DB7E66"/>
    <w:rsid w:val="00DC0923"/>
    <w:rsid w:val="00DC0ADB"/>
    <w:rsid w:val="00DC0DD3"/>
    <w:rsid w:val="00DC15BF"/>
    <w:rsid w:val="00DC1955"/>
    <w:rsid w:val="00DC212A"/>
    <w:rsid w:val="00DC23FE"/>
    <w:rsid w:val="00DC2602"/>
    <w:rsid w:val="00DC2796"/>
    <w:rsid w:val="00DC27F4"/>
    <w:rsid w:val="00DC296F"/>
    <w:rsid w:val="00DC29E2"/>
    <w:rsid w:val="00DC2C76"/>
    <w:rsid w:val="00DC3393"/>
    <w:rsid w:val="00DC3BE5"/>
    <w:rsid w:val="00DC47EE"/>
    <w:rsid w:val="00DC543B"/>
    <w:rsid w:val="00DC5692"/>
    <w:rsid w:val="00DC5B40"/>
    <w:rsid w:val="00DC645C"/>
    <w:rsid w:val="00DC65F9"/>
    <w:rsid w:val="00DC68FF"/>
    <w:rsid w:val="00DC79AF"/>
    <w:rsid w:val="00DD02B7"/>
    <w:rsid w:val="00DD094E"/>
    <w:rsid w:val="00DD0E7C"/>
    <w:rsid w:val="00DD1BEB"/>
    <w:rsid w:val="00DD1DC6"/>
    <w:rsid w:val="00DD1E2E"/>
    <w:rsid w:val="00DD1EEA"/>
    <w:rsid w:val="00DD27A1"/>
    <w:rsid w:val="00DD2EAF"/>
    <w:rsid w:val="00DD3660"/>
    <w:rsid w:val="00DD3683"/>
    <w:rsid w:val="00DD3E2C"/>
    <w:rsid w:val="00DD40A2"/>
    <w:rsid w:val="00DD41F8"/>
    <w:rsid w:val="00DD54BB"/>
    <w:rsid w:val="00DD5DD5"/>
    <w:rsid w:val="00DD607E"/>
    <w:rsid w:val="00DD62FF"/>
    <w:rsid w:val="00DD68DC"/>
    <w:rsid w:val="00DE04F6"/>
    <w:rsid w:val="00DE1638"/>
    <w:rsid w:val="00DE1E6E"/>
    <w:rsid w:val="00DE2B79"/>
    <w:rsid w:val="00DE2C82"/>
    <w:rsid w:val="00DE3B1F"/>
    <w:rsid w:val="00DE3EE8"/>
    <w:rsid w:val="00DE43CE"/>
    <w:rsid w:val="00DE4EC9"/>
    <w:rsid w:val="00DE4F3D"/>
    <w:rsid w:val="00DE65DE"/>
    <w:rsid w:val="00DE660D"/>
    <w:rsid w:val="00DE6D4C"/>
    <w:rsid w:val="00DE7559"/>
    <w:rsid w:val="00DE7561"/>
    <w:rsid w:val="00DE7BD4"/>
    <w:rsid w:val="00DE7C47"/>
    <w:rsid w:val="00DE7E2A"/>
    <w:rsid w:val="00DE7FA1"/>
    <w:rsid w:val="00DF04AD"/>
    <w:rsid w:val="00DF0EB4"/>
    <w:rsid w:val="00DF1648"/>
    <w:rsid w:val="00DF2EFC"/>
    <w:rsid w:val="00DF334B"/>
    <w:rsid w:val="00DF3470"/>
    <w:rsid w:val="00DF36E0"/>
    <w:rsid w:val="00DF36FE"/>
    <w:rsid w:val="00DF4224"/>
    <w:rsid w:val="00DF4BC7"/>
    <w:rsid w:val="00DF5B29"/>
    <w:rsid w:val="00DF5E85"/>
    <w:rsid w:val="00DF62ED"/>
    <w:rsid w:val="00DF69AE"/>
    <w:rsid w:val="00DF7539"/>
    <w:rsid w:val="00DF7719"/>
    <w:rsid w:val="00DF7962"/>
    <w:rsid w:val="00E00138"/>
    <w:rsid w:val="00E00235"/>
    <w:rsid w:val="00E00719"/>
    <w:rsid w:val="00E00733"/>
    <w:rsid w:val="00E008C5"/>
    <w:rsid w:val="00E00D42"/>
    <w:rsid w:val="00E00F03"/>
    <w:rsid w:val="00E00F83"/>
    <w:rsid w:val="00E026D1"/>
    <w:rsid w:val="00E0288F"/>
    <w:rsid w:val="00E03351"/>
    <w:rsid w:val="00E03431"/>
    <w:rsid w:val="00E0526A"/>
    <w:rsid w:val="00E0634E"/>
    <w:rsid w:val="00E0642E"/>
    <w:rsid w:val="00E06B6F"/>
    <w:rsid w:val="00E06D21"/>
    <w:rsid w:val="00E07623"/>
    <w:rsid w:val="00E07722"/>
    <w:rsid w:val="00E078FA"/>
    <w:rsid w:val="00E079D3"/>
    <w:rsid w:val="00E07C08"/>
    <w:rsid w:val="00E108D8"/>
    <w:rsid w:val="00E10CAD"/>
    <w:rsid w:val="00E11F87"/>
    <w:rsid w:val="00E1294C"/>
    <w:rsid w:val="00E135D4"/>
    <w:rsid w:val="00E13A6F"/>
    <w:rsid w:val="00E13ED7"/>
    <w:rsid w:val="00E155AD"/>
    <w:rsid w:val="00E15E24"/>
    <w:rsid w:val="00E15FE9"/>
    <w:rsid w:val="00E164E6"/>
    <w:rsid w:val="00E16644"/>
    <w:rsid w:val="00E16DAB"/>
    <w:rsid w:val="00E17BF0"/>
    <w:rsid w:val="00E202EF"/>
    <w:rsid w:val="00E21085"/>
    <w:rsid w:val="00E21229"/>
    <w:rsid w:val="00E22347"/>
    <w:rsid w:val="00E2269F"/>
    <w:rsid w:val="00E228F8"/>
    <w:rsid w:val="00E22F9A"/>
    <w:rsid w:val="00E23695"/>
    <w:rsid w:val="00E23791"/>
    <w:rsid w:val="00E23B12"/>
    <w:rsid w:val="00E23ECD"/>
    <w:rsid w:val="00E24799"/>
    <w:rsid w:val="00E24975"/>
    <w:rsid w:val="00E249CF"/>
    <w:rsid w:val="00E25206"/>
    <w:rsid w:val="00E2584F"/>
    <w:rsid w:val="00E2585F"/>
    <w:rsid w:val="00E258C2"/>
    <w:rsid w:val="00E259FE"/>
    <w:rsid w:val="00E25AF5"/>
    <w:rsid w:val="00E25BFE"/>
    <w:rsid w:val="00E265F2"/>
    <w:rsid w:val="00E266A6"/>
    <w:rsid w:val="00E26760"/>
    <w:rsid w:val="00E26C81"/>
    <w:rsid w:val="00E27652"/>
    <w:rsid w:val="00E27722"/>
    <w:rsid w:val="00E302D9"/>
    <w:rsid w:val="00E30B3C"/>
    <w:rsid w:val="00E31B83"/>
    <w:rsid w:val="00E322CD"/>
    <w:rsid w:val="00E32CE9"/>
    <w:rsid w:val="00E33286"/>
    <w:rsid w:val="00E3349E"/>
    <w:rsid w:val="00E33C6C"/>
    <w:rsid w:val="00E33F2D"/>
    <w:rsid w:val="00E3429A"/>
    <w:rsid w:val="00E34B39"/>
    <w:rsid w:val="00E34E49"/>
    <w:rsid w:val="00E3555E"/>
    <w:rsid w:val="00E3564A"/>
    <w:rsid w:val="00E35805"/>
    <w:rsid w:val="00E35BE5"/>
    <w:rsid w:val="00E35EBF"/>
    <w:rsid w:val="00E35F7F"/>
    <w:rsid w:val="00E36471"/>
    <w:rsid w:val="00E37380"/>
    <w:rsid w:val="00E3756B"/>
    <w:rsid w:val="00E4045F"/>
    <w:rsid w:val="00E407DD"/>
    <w:rsid w:val="00E42996"/>
    <w:rsid w:val="00E43BFD"/>
    <w:rsid w:val="00E4467A"/>
    <w:rsid w:val="00E44A6E"/>
    <w:rsid w:val="00E44EBF"/>
    <w:rsid w:val="00E452B1"/>
    <w:rsid w:val="00E4542F"/>
    <w:rsid w:val="00E45786"/>
    <w:rsid w:val="00E45AC3"/>
    <w:rsid w:val="00E4609A"/>
    <w:rsid w:val="00E46155"/>
    <w:rsid w:val="00E468B0"/>
    <w:rsid w:val="00E46B82"/>
    <w:rsid w:val="00E4714C"/>
    <w:rsid w:val="00E47238"/>
    <w:rsid w:val="00E472E2"/>
    <w:rsid w:val="00E474BF"/>
    <w:rsid w:val="00E50338"/>
    <w:rsid w:val="00E50B67"/>
    <w:rsid w:val="00E51FA4"/>
    <w:rsid w:val="00E52DBD"/>
    <w:rsid w:val="00E5330C"/>
    <w:rsid w:val="00E54DC0"/>
    <w:rsid w:val="00E567B2"/>
    <w:rsid w:val="00E56ACE"/>
    <w:rsid w:val="00E57A03"/>
    <w:rsid w:val="00E60AA1"/>
    <w:rsid w:val="00E60E66"/>
    <w:rsid w:val="00E6111F"/>
    <w:rsid w:val="00E612F6"/>
    <w:rsid w:val="00E61E44"/>
    <w:rsid w:val="00E62CEA"/>
    <w:rsid w:val="00E62E11"/>
    <w:rsid w:val="00E6321C"/>
    <w:rsid w:val="00E64331"/>
    <w:rsid w:val="00E6561D"/>
    <w:rsid w:val="00E663F3"/>
    <w:rsid w:val="00E6735E"/>
    <w:rsid w:val="00E676A4"/>
    <w:rsid w:val="00E707E8"/>
    <w:rsid w:val="00E71B9C"/>
    <w:rsid w:val="00E724CF"/>
    <w:rsid w:val="00E726D1"/>
    <w:rsid w:val="00E73804"/>
    <w:rsid w:val="00E73FB2"/>
    <w:rsid w:val="00E75255"/>
    <w:rsid w:val="00E75691"/>
    <w:rsid w:val="00E76065"/>
    <w:rsid w:val="00E763C6"/>
    <w:rsid w:val="00E76555"/>
    <w:rsid w:val="00E76787"/>
    <w:rsid w:val="00E7782E"/>
    <w:rsid w:val="00E8082F"/>
    <w:rsid w:val="00E80CC0"/>
    <w:rsid w:val="00E80F63"/>
    <w:rsid w:val="00E810F5"/>
    <w:rsid w:val="00E8116F"/>
    <w:rsid w:val="00E81442"/>
    <w:rsid w:val="00E81DE0"/>
    <w:rsid w:val="00E8227F"/>
    <w:rsid w:val="00E8282B"/>
    <w:rsid w:val="00E84DD9"/>
    <w:rsid w:val="00E84F2C"/>
    <w:rsid w:val="00E855D0"/>
    <w:rsid w:val="00E85995"/>
    <w:rsid w:val="00E866C4"/>
    <w:rsid w:val="00E86B8F"/>
    <w:rsid w:val="00E8755F"/>
    <w:rsid w:val="00E8763F"/>
    <w:rsid w:val="00E87BC4"/>
    <w:rsid w:val="00E90332"/>
    <w:rsid w:val="00E90518"/>
    <w:rsid w:val="00E90B01"/>
    <w:rsid w:val="00E90DA4"/>
    <w:rsid w:val="00E91790"/>
    <w:rsid w:val="00E92A5C"/>
    <w:rsid w:val="00E93739"/>
    <w:rsid w:val="00E93BC0"/>
    <w:rsid w:val="00E93E47"/>
    <w:rsid w:val="00E94402"/>
    <w:rsid w:val="00E95473"/>
    <w:rsid w:val="00E959C6"/>
    <w:rsid w:val="00E95C27"/>
    <w:rsid w:val="00E96750"/>
    <w:rsid w:val="00E96FD9"/>
    <w:rsid w:val="00E96FEF"/>
    <w:rsid w:val="00E978AB"/>
    <w:rsid w:val="00E97BA2"/>
    <w:rsid w:val="00E97E8B"/>
    <w:rsid w:val="00EA0272"/>
    <w:rsid w:val="00EA03EF"/>
    <w:rsid w:val="00EA09DF"/>
    <w:rsid w:val="00EA19D7"/>
    <w:rsid w:val="00EA1F38"/>
    <w:rsid w:val="00EA2EA1"/>
    <w:rsid w:val="00EA3443"/>
    <w:rsid w:val="00EA363B"/>
    <w:rsid w:val="00EA3834"/>
    <w:rsid w:val="00EA40A0"/>
    <w:rsid w:val="00EA4202"/>
    <w:rsid w:val="00EA4349"/>
    <w:rsid w:val="00EA4B02"/>
    <w:rsid w:val="00EA4CB4"/>
    <w:rsid w:val="00EA5043"/>
    <w:rsid w:val="00EA7200"/>
    <w:rsid w:val="00EA7AB8"/>
    <w:rsid w:val="00EA7ED3"/>
    <w:rsid w:val="00EA7F97"/>
    <w:rsid w:val="00EB019C"/>
    <w:rsid w:val="00EB01A9"/>
    <w:rsid w:val="00EB107E"/>
    <w:rsid w:val="00EB13FF"/>
    <w:rsid w:val="00EB1DCA"/>
    <w:rsid w:val="00EB1FCA"/>
    <w:rsid w:val="00EB2BEC"/>
    <w:rsid w:val="00EB2EA8"/>
    <w:rsid w:val="00EB2FA5"/>
    <w:rsid w:val="00EB372A"/>
    <w:rsid w:val="00EB3DF4"/>
    <w:rsid w:val="00EB42F5"/>
    <w:rsid w:val="00EB43A8"/>
    <w:rsid w:val="00EB5B27"/>
    <w:rsid w:val="00EB60C5"/>
    <w:rsid w:val="00EB70D2"/>
    <w:rsid w:val="00EB74B0"/>
    <w:rsid w:val="00EC046F"/>
    <w:rsid w:val="00EC120A"/>
    <w:rsid w:val="00EC1333"/>
    <w:rsid w:val="00EC1761"/>
    <w:rsid w:val="00EC2EAB"/>
    <w:rsid w:val="00EC38EA"/>
    <w:rsid w:val="00EC503F"/>
    <w:rsid w:val="00EC52AC"/>
    <w:rsid w:val="00EC57A2"/>
    <w:rsid w:val="00EC6D8C"/>
    <w:rsid w:val="00ED11B4"/>
    <w:rsid w:val="00ED134A"/>
    <w:rsid w:val="00ED1AA2"/>
    <w:rsid w:val="00ED1CCB"/>
    <w:rsid w:val="00ED2420"/>
    <w:rsid w:val="00ED2663"/>
    <w:rsid w:val="00ED29C5"/>
    <w:rsid w:val="00ED3038"/>
    <w:rsid w:val="00ED345F"/>
    <w:rsid w:val="00ED35DA"/>
    <w:rsid w:val="00ED5933"/>
    <w:rsid w:val="00ED5E8F"/>
    <w:rsid w:val="00ED622A"/>
    <w:rsid w:val="00ED6EAE"/>
    <w:rsid w:val="00ED7589"/>
    <w:rsid w:val="00ED7834"/>
    <w:rsid w:val="00ED7C7C"/>
    <w:rsid w:val="00ED7C94"/>
    <w:rsid w:val="00EE0445"/>
    <w:rsid w:val="00EE0573"/>
    <w:rsid w:val="00EE1464"/>
    <w:rsid w:val="00EE169B"/>
    <w:rsid w:val="00EE1957"/>
    <w:rsid w:val="00EE1D51"/>
    <w:rsid w:val="00EE22B3"/>
    <w:rsid w:val="00EE2A62"/>
    <w:rsid w:val="00EE2B42"/>
    <w:rsid w:val="00EE3034"/>
    <w:rsid w:val="00EE3036"/>
    <w:rsid w:val="00EE3BF8"/>
    <w:rsid w:val="00EE4132"/>
    <w:rsid w:val="00EE4365"/>
    <w:rsid w:val="00EE44DB"/>
    <w:rsid w:val="00EE48F7"/>
    <w:rsid w:val="00EE4CCB"/>
    <w:rsid w:val="00EE52D4"/>
    <w:rsid w:val="00EE5347"/>
    <w:rsid w:val="00EE5A83"/>
    <w:rsid w:val="00EE640F"/>
    <w:rsid w:val="00EE6752"/>
    <w:rsid w:val="00EE7604"/>
    <w:rsid w:val="00EE7840"/>
    <w:rsid w:val="00EE7F09"/>
    <w:rsid w:val="00EF08CA"/>
    <w:rsid w:val="00EF0D17"/>
    <w:rsid w:val="00EF1975"/>
    <w:rsid w:val="00EF1D00"/>
    <w:rsid w:val="00EF2622"/>
    <w:rsid w:val="00EF27AF"/>
    <w:rsid w:val="00EF3F76"/>
    <w:rsid w:val="00EF46C8"/>
    <w:rsid w:val="00EF4D81"/>
    <w:rsid w:val="00EF4E7D"/>
    <w:rsid w:val="00EF53D7"/>
    <w:rsid w:val="00EF59ED"/>
    <w:rsid w:val="00EF5B91"/>
    <w:rsid w:val="00EF5D20"/>
    <w:rsid w:val="00EF6B76"/>
    <w:rsid w:val="00EF6DD7"/>
    <w:rsid w:val="00EF7335"/>
    <w:rsid w:val="00EF7903"/>
    <w:rsid w:val="00EF7C8D"/>
    <w:rsid w:val="00F00777"/>
    <w:rsid w:val="00F00A8C"/>
    <w:rsid w:val="00F00D33"/>
    <w:rsid w:val="00F011D7"/>
    <w:rsid w:val="00F01465"/>
    <w:rsid w:val="00F01DD6"/>
    <w:rsid w:val="00F01E38"/>
    <w:rsid w:val="00F01E55"/>
    <w:rsid w:val="00F020FA"/>
    <w:rsid w:val="00F05200"/>
    <w:rsid w:val="00F05229"/>
    <w:rsid w:val="00F05239"/>
    <w:rsid w:val="00F0546D"/>
    <w:rsid w:val="00F062C8"/>
    <w:rsid w:val="00F0740B"/>
    <w:rsid w:val="00F078B3"/>
    <w:rsid w:val="00F07D50"/>
    <w:rsid w:val="00F07F36"/>
    <w:rsid w:val="00F10E1C"/>
    <w:rsid w:val="00F110E7"/>
    <w:rsid w:val="00F117CC"/>
    <w:rsid w:val="00F12845"/>
    <w:rsid w:val="00F14A9B"/>
    <w:rsid w:val="00F14BCF"/>
    <w:rsid w:val="00F15043"/>
    <w:rsid w:val="00F15168"/>
    <w:rsid w:val="00F15C33"/>
    <w:rsid w:val="00F15D64"/>
    <w:rsid w:val="00F164C9"/>
    <w:rsid w:val="00F16760"/>
    <w:rsid w:val="00F1791A"/>
    <w:rsid w:val="00F17D9A"/>
    <w:rsid w:val="00F17E14"/>
    <w:rsid w:val="00F20B9D"/>
    <w:rsid w:val="00F20F9F"/>
    <w:rsid w:val="00F2101A"/>
    <w:rsid w:val="00F21595"/>
    <w:rsid w:val="00F21638"/>
    <w:rsid w:val="00F21A8C"/>
    <w:rsid w:val="00F21D17"/>
    <w:rsid w:val="00F22568"/>
    <w:rsid w:val="00F22D94"/>
    <w:rsid w:val="00F23536"/>
    <w:rsid w:val="00F235EB"/>
    <w:rsid w:val="00F24050"/>
    <w:rsid w:val="00F244F5"/>
    <w:rsid w:val="00F25543"/>
    <w:rsid w:val="00F25936"/>
    <w:rsid w:val="00F2601A"/>
    <w:rsid w:val="00F26355"/>
    <w:rsid w:val="00F26BA9"/>
    <w:rsid w:val="00F274C9"/>
    <w:rsid w:val="00F27EEC"/>
    <w:rsid w:val="00F30083"/>
    <w:rsid w:val="00F30259"/>
    <w:rsid w:val="00F322E0"/>
    <w:rsid w:val="00F3234C"/>
    <w:rsid w:val="00F323F9"/>
    <w:rsid w:val="00F32406"/>
    <w:rsid w:val="00F35EE9"/>
    <w:rsid w:val="00F35F0C"/>
    <w:rsid w:val="00F35FB2"/>
    <w:rsid w:val="00F36043"/>
    <w:rsid w:val="00F36C60"/>
    <w:rsid w:val="00F36EFA"/>
    <w:rsid w:val="00F377C0"/>
    <w:rsid w:val="00F40901"/>
    <w:rsid w:val="00F40981"/>
    <w:rsid w:val="00F4111E"/>
    <w:rsid w:val="00F416F0"/>
    <w:rsid w:val="00F4240D"/>
    <w:rsid w:val="00F425DD"/>
    <w:rsid w:val="00F42C5F"/>
    <w:rsid w:val="00F4384E"/>
    <w:rsid w:val="00F448F3"/>
    <w:rsid w:val="00F4496D"/>
    <w:rsid w:val="00F44AF4"/>
    <w:rsid w:val="00F44E3B"/>
    <w:rsid w:val="00F4510F"/>
    <w:rsid w:val="00F4542E"/>
    <w:rsid w:val="00F463C6"/>
    <w:rsid w:val="00F465F0"/>
    <w:rsid w:val="00F46D6E"/>
    <w:rsid w:val="00F4710B"/>
    <w:rsid w:val="00F47C7F"/>
    <w:rsid w:val="00F52E41"/>
    <w:rsid w:val="00F53523"/>
    <w:rsid w:val="00F53E60"/>
    <w:rsid w:val="00F54145"/>
    <w:rsid w:val="00F545A0"/>
    <w:rsid w:val="00F54FFC"/>
    <w:rsid w:val="00F552EB"/>
    <w:rsid w:val="00F55A23"/>
    <w:rsid w:val="00F55C83"/>
    <w:rsid w:val="00F562DC"/>
    <w:rsid w:val="00F5649D"/>
    <w:rsid w:val="00F56616"/>
    <w:rsid w:val="00F56A72"/>
    <w:rsid w:val="00F56DD3"/>
    <w:rsid w:val="00F56F4F"/>
    <w:rsid w:val="00F57740"/>
    <w:rsid w:val="00F602DF"/>
    <w:rsid w:val="00F60479"/>
    <w:rsid w:val="00F606B5"/>
    <w:rsid w:val="00F60F2B"/>
    <w:rsid w:val="00F611CF"/>
    <w:rsid w:val="00F615B1"/>
    <w:rsid w:val="00F615FF"/>
    <w:rsid w:val="00F6184B"/>
    <w:rsid w:val="00F629B6"/>
    <w:rsid w:val="00F635DE"/>
    <w:rsid w:val="00F650F6"/>
    <w:rsid w:val="00F65300"/>
    <w:rsid w:val="00F65E61"/>
    <w:rsid w:val="00F65EA3"/>
    <w:rsid w:val="00F663D5"/>
    <w:rsid w:val="00F672DC"/>
    <w:rsid w:val="00F70085"/>
    <w:rsid w:val="00F7080D"/>
    <w:rsid w:val="00F709AB"/>
    <w:rsid w:val="00F70F3D"/>
    <w:rsid w:val="00F71056"/>
    <w:rsid w:val="00F72163"/>
    <w:rsid w:val="00F72A8F"/>
    <w:rsid w:val="00F733A2"/>
    <w:rsid w:val="00F748EB"/>
    <w:rsid w:val="00F74EEE"/>
    <w:rsid w:val="00F76318"/>
    <w:rsid w:val="00F76861"/>
    <w:rsid w:val="00F76ACD"/>
    <w:rsid w:val="00F77403"/>
    <w:rsid w:val="00F77CD1"/>
    <w:rsid w:val="00F80FFA"/>
    <w:rsid w:val="00F811EF"/>
    <w:rsid w:val="00F81739"/>
    <w:rsid w:val="00F82500"/>
    <w:rsid w:val="00F83355"/>
    <w:rsid w:val="00F84086"/>
    <w:rsid w:val="00F842B1"/>
    <w:rsid w:val="00F84510"/>
    <w:rsid w:val="00F8480C"/>
    <w:rsid w:val="00F84F43"/>
    <w:rsid w:val="00F85439"/>
    <w:rsid w:val="00F85914"/>
    <w:rsid w:val="00F85FD8"/>
    <w:rsid w:val="00F8630B"/>
    <w:rsid w:val="00F8656B"/>
    <w:rsid w:val="00F87170"/>
    <w:rsid w:val="00F87492"/>
    <w:rsid w:val="00F87634"/>
    <w:rsid w:val="00F87D00"/>
    <w:rsid w:val="00F87DC0"/>
    <w:rsid w:val="00F87F65"/>
    <w:rsid w:val="00F9069A"/>
    <w:rsid w:val="00F90AC0"/>
    <w:rsid w:val="00F911DE"/>
    <w:rsid w:val="00F924DC"/>
    <w:rsid w:val="00F92BD9"/>
    <w:rsid w:val="00F92C7D"/>
    <w:rsid w:val="00F939C3"/>
    <w:rsid w:val="00F93AD0"/>
    <w:rsid w:val="00F93E29"/>
    <w:rsid w:val="00F94755"/>
    <w:rsid w:val="00F94B9E"/>
    <w:rsid w:val="00F953CF"/>
    <w:rsid w:val="00F95533"/>
    <w:rsid w:val="00F95703"/>
    <w:rsid w:val="00F95B4C"/>
    <w:rsid w:val="00F95BC2"/>
    <w:rsid w:val="00F96F52"/>
    <w:rsid w:val="00F974A8"/>
    <w:rsid w:val="00F97719"/>
    <w:rsid w:val="00FA018F"/>
    <w:rsid w:val="00FA0477"/>
    <w:rsid w:val="00FA056E"/>
    <w:rsid w:val="00FA08F4"/>
    <w:rsid w:val="00FA091F"/>
    <w:rsid w:val="00FA0DF3"/>
    <w:rsid w:val="00FA0F61"/>
    <w:rsid w:val="00FA1F22"/>
    <w:rsid w:val="00FA2C70"/>
    <w:rsid w:val="00FA2D2D"/>
    <w:rsid w:val="00FA31E9"/>
    <w:rsid w:val="00FA323F"/>
    <w:rsid w:val="00FA36D9"/>
    <w:rsid w:val="00FA36F1"/>
    <w:rsid w:val="00FA3B21"/>
    <w:rsid w:val="00FA3D37"/>
    <w:rsid w:val="00FA47FC"/>
    <w:rsid w:val="00FA4813"/>
    <w:rsid w:val="00FA4E88"/>
    <w:rsid w:val="00FA4EAF"/>
    <w:rsid w:val="00FA4F58"/>
    <w:rsid w:val="00FA5C24"/>
    <w:rsid w:val="00FA5C54"/>
    <w:rsid w:val="00FA671F"/>
    <w:rsid w:val="00FA7337"/>
    <w:rsid w:val="00FA738B"/>
    <w:rsid w:val="00FA7581"/>
    <w:rsid w:val="00FB011B"/>
    <w:rsid w:val="00FB0870"/>
    <w:rsid w:val="00FB08FE"/>
    <w:rsid w:val="00FB0B7B"/>
    <w:rsid w:val="00FB0C72"/>
    <w:rsid w:val="00FB1059"/>
    <w:rsid w:val="00FB1093"/>
    <w:rsid w:val="00FB11B9"/>
    <w:rsid w:val="00FB16EF"/>
    <w:rsid w:val="00FB2A7D"/>
    <w:rsid w:val="00FB2B79"/>
    <w:rsid w:val="00FB34AB"/>
    <w:rsid w:val="00FB4BEE"/>
    <w:rsid w:val="00FB5132"/>
    <w:rsid w:val="00FB51C0"/>
    <w:rsid w:val="00FB5739"/>
    <w:rsid w:val="00FB62AB"/>
    <w:rsid w:val="00FB665D"/>
    <w:rsid w:val="00FB6FCA"/>
    <w:rsid w:val="00FB758E"/>
    <w:rsid w:val="00FB7AE9"/>
    <w:rsid w:val="00FB7D85"/>
    <w:rsid w:val="00FC03D9"/>
    <w:rsid w:val="00FC0A24"/>
    <w:rsid w:val="00FC13A6"/>
    <w:rsid w:val="00FC1570"/>
    <w:rsid w:val="00FC1BFA"/>
    <w:rsid w:val="00FC1F10"/>
    <w:rsid w:val="00FC2F20"/>
    <w:rsid w:val="00FC4905"/>
    <w:rsid w:val="00FC4EB8"/>
    <w:rsid w:val="00FC50B2"/>
    <w:rsid w:val="00FC6E09"/>
    <w:rsid w:val="00FC70E4"/>
    <w:rsid w:val="00FC7C43"/>
    <w:rsid w:val="00FD1530"/>
    <w:rsid w:val="00FD1F51"/>
    <w:rsid w:val="00FD2EE4"/>
    <w:rsid w:val="00FD35DB"/>
    <w:rsid w:val="00FD4985"/>
    <w:rsid w:val="00FD49D3"/>
    <w:rsid w:val="00FD4F74"/>
    <w:rsid w:val="00FD5638"/>
    <w:rsid w:val="00FD5A7D"/>
    <w:rsid w:val="00FD687C"/>
    <w:rsid w:val="00FD6BB7"/>
    <w:rsid w:val="00FD75DF"/>
    <w:rsid w:val="00FD7AFE"/>
    <w:rsid w:val="00FE0DAD"/>
    <w:rsid w:val="00FE160B"/>
    <w:rsid w:val="00FE1BEC"/>
    <w:rsid w:val="00FE35F0"/>
    <w:rsid w:val="00FE3D74"/>
    <w:rsid w:val="00FE408F"/>
    <w:rsid w:val="00FE420F"/>
    <w:rsid w:val="00FE423C"/>
    <w:rsid w:val="00FE4A5A"/>
    <w:rsid w:val="00FE4B44"/>
    <w:rsid w:val="00FE4BBC"/>
    <w:rsid w:val="00FE5033"/>
    <w:rsid w:val="00FE62E0"/>
    <w:rsid w:val="00FE647E"/>
    <w:rsid w:val="00FE65E3"/>
    <w:rsid w:val="00FE6794"/>
    <w:rsid w:val="00FF0CC5"/>
    <w:rsid w:val="00FF0E77"/>
    <w:rsid w:val="00FF111F"/>
    <w:rsid w:val="00FF1160"/>
    <w:rsid w:val="00FF1521"/>
    <w:rsid w:val="00FF1930"/>
    <w:rsid w:val="00FF246E"/>
    <w:rsid w:val="00FF24F0"/>
    <w:rsid w:val="00FF26B9"/>
    <w:rsid w:val="00FF27C1"/>
    <w:rsid w:val="00FF3335"/>
    <w:rsid w:val="00FF3AE9"/>
    <w:rsid w:val="00FF4957"/>
    <w:rsid w:val="00FF51C2"/>
    <w:rsid w:val="00FF51FD"/>
    <w:rsid w:val="00FF53F7"/>
    <w:rsid w:val="00FF5626"/>
    <w:rsid w:val="00FF5A87"/>
    <w:rsid w:val="00FF5D94"/>
    <w:rsid w:val="00FF67E3"/>
    <w:rsid w:val="00FF68A8"/>
    <w:rsid w:val="01731ED6"/>
    <w:rsid w:val="01926FF3"/>
    <w:rsid w:val="01CAEDB3"/>
    <w:rsid w:val="020DDA08"/>
    <w:rsid w:val="029DB03A"/>
    <w:rsid w:val="02AA3BF7"/>
    <w:rsid w:val="02B1A45C"/>
    <w:rsid w:val="03B9FA1F"/>
    <w:rsid w:val="04625069"/>
    <w:rsid w:val="058516CD"/>
    <w:rsid w:val="067FE242"/>
    <w:rsid w:val="07978990"/>
    <w:rsid w:val="079E76AF"/>
    <w:rsid w:val="07B5C182"/>
    <w:rsid w:val="09445BAB"/>
    <w:rsid w:val="095C5624"/>
    <w:rsid w:val="099B7605"/>
    <w:rsid w:val="099C18C1"/>
    <w:rsid w:val="0A425FCC"/>
    <w:rsid w:val="0A6EC6D4"/>
    <w:rsid w:val="0AC7CF4A"/>
    <w:rsid w:val="0AEE6940"/>
    <w:rsid w:val="0AF75B81"/>
    <w:rsid w:val="0AF9C641"/>
    <w:rsid w:val="0AF9E5C6"/>
    <w:rsid w:val="0AFCC7AA"/>
    <w:rsid w:val="0BDF8654"/>
    <w:rsid w:val="0CC4817E"/>
    <w:rsid w:val="0CEABBD7"/>
    <w:rsid w:val="0D295EFC"/>
    <w:rsid w:val="0E096A8E"/>
    <w:rsid w:val="0E0B0BE4"/>
    <w:rsid w:val="0E3012F7"/>
    <w:rsid w:val="0F231562"/>
    <w:rsid w:val="0F763297"/>
    <w:rsid w:val="10C19824"/>
    <w:rsid w:val="11785B92"/>
    <w:rsid w:val="117FAA46"/>
    <w:rsid w:val="11E117A5"/>
    <w:rsid w:val="12272BCF"/>
    <w:rsid w:val="123E07D1"/>
    <w:rsid w:val="125E8541"/>
    <w:rsid w:val="12A34327"/>
    <w:rsid w:val="12C0AC32"/>
    <w:rsid w:val="12EA8A80"/>
    <w:rsid w:val="1331DBD7"/>
    <w:rsid w:val="1358ED57"/>
    <w:rsid w:val="13694487"/>
    <w:rsid w:val="13CE0E6E"/>
    <w:rsid w:val="1409B3E6"/>
    <w:rsid w:val="1415B2AB"/>
    <w:rsid w:val="14282C76"/>
    <w:rsid w:val="1493CA18"/>
    <w:rsid w:val="159F5BDA"/>
    <w:rsid w:val="1619E285"/>
    <w:rsid w:val="1655582F"/>
    <w:rsid w:val="17B3C3EB"/>
    <w:rsid w:val="1804A374"/>
    <w:rsid w:val="18546567"/>
    <w:rsid w:val="193FD879"/>
    <w:rsid w:val="198B9582"/>
    <w:rsid w:val="1D488E1D"/>
    <w:rsid w:val="1D68EAB1"/>
    <w:rsid w:val="1DE39CF0"/>
    <w:rsid w:val="1DEF6374"/>
    <w:rsid w:val="1DEF99B8"/>
    <w:rsid w:val="1E094677"/>
    <w:rsid w:val="1E93000B"/>
    <w:rsid w:val="1EA53EC7"/>
    <w:rsid w:val="1EB057E4"/>
    <w:rsid w:val="1EE10485"/>
    <w:rsid w:val="1FF02166"/>
    <w:rsid w:val="1FF5AF93"/>
    <w:rsid w:val="20270B3A"/>
    <w:rsid w:val="2045DAF6"/>
    <w:rsid w:val="20838E35"/>
    <w:rsid w:val="20B790C7"/>
    <w:rsid w:val="20DED613"/>
    <w:rsid w:val="211EB670"/>
    <w:rsid w:val="21D6BDCF"/>
    <w:rsid w:val="2291654C"/>
    <w:rsid w:val="23361B44"/>
    <w:rsid w:val="23384614"/>
    <w:rsid w:val="236CDE99"/>
    <w:rsid w:val="240BFE52"/>
    <w:rsid w:val="2410D213"/>
    <w:rsid w:val="2452AFB8"/>
    <w:rsid w:val="25043AE2"/>
    <w:rsid w:val="252F41A6"/>
    <w:rsid w:val="25377E99"/>
    <w:rsid w:val="257209D8"/>
    <w:rsid w:val="2632E71B"/>
    <w:rsid w:val="26417155"/>
    <w:rsid w:val="26BC77CE"/>
    <w:rsid w:val="2701D832"/>
    <w:rsid w:val="27AE2192"/>
    <w:rsid w:val="27D7491B"/>
    <w:rsid w:val="285ACE09"/>
    <w:rsid w:val="28801243"/>
    <w:rsid w:val="28BDAAA8"/>
    <w:rsid w:val="28C1F96A"/>
    <w:rsid w:val="28D949D3"/>
    <w:rsid w:val="2975607B"/>
    <w:rsid w:val="298C536E"/>
    <w:rsid w:val="2AA96B5A"/>
    <w:rsid w:val="2B1CCC9E"/>
    <w:rsid w:val="2B6CF52B"/>
    <w:rsid w:val="2B927221"/>
    <w:rsid w:val="2BC45C71"/>
    <w:rsid w:val="2C042A50"/>
    <w:rsid w:val="2C173315"/>
    <w:rsid w:val="2C2ACFD2"/>
    <w:rsid w:val="2C72725A"/>
    <w:rsid w:val="2D2CA9F7"/>
    <w:rsid w:val="2E529043"/>
    <w:rsid w:val="2F2E9E2C"/>
    <w:rsid w:val="2FDB176F"/>
    <w:rsid w:val="2FFF06D8"/>
    <w:rsid w:val="30A2B31A"/>
    <w:rsid w:val="31E9F6E5"/>
    <w:rsid w:val="31F18BDC"/>
    <w:rsid w:val="31FD4632"/>
    <w:rsid w:val="32733F3A"/>
    <w:rsid w:val="32FB5F85"/>
    <w:rsid w:val="33136EB8"/>
    <w:rsid w:val="337E8306"/>
    <w:rsid w:val="33C07F07"/>
    <w:rsid w:val="34592A5E"/>
    <w:rsid w:val="34C791FF"/>
    <w:rsid w:val="34EFCFD3"/>
    <w:rsid w:val="34F40D73"/>
    <w:rsid w:val="357B6DB5"/>
    <w:rsid w:val="360A49CA"/>
    <w:rsid w:val="3656F45C"/>
    <w:rsid w:val="36A72A5F"/>
    <w:rsid w:val="36B66CF8"/>
    <w:rsid w:val="378EA243"/>
    <w:rsid w:val="385CD3DA"/>
    <w:rsid w:val="398CF1B0"/>
    <w:rsid w:val="39B42B7F"/>
    <w:rsid w:val="39FDAB3C"/>
    <w:rsid w:val="3A150640"/>
    <w:rsid w:val="3A387CA8"/>
    <w:rsid w:val="3A818606"/>
    <w:rsid w:val="3A872BDB"/>
    <w:rsid w:val="3A8E7AEE"/>
    <w:rsid w:val="3A964361"/>
    <w:rsid w:val="3B044A5B"/>
    <w:rsid w:val="3B0C00BB"/>
    <w:rsid w:val="3BAD76A5"/>
    <w:rsid w:val="3BFBE0A4"/>
    <w:rsid w:val="3C31CD49"/>
    <w:rsid w:val="3C4F9994"/>
    <w:rsid w:val="3C9CBDB8"/>
    <w:rsid w:val="3CDA3794"/>
    <w:rsid w:val="3D39E562"/>
    <w:rsid w:val="3DC9E698"/>
    <w:rsid w:val="3E11AC22"/>
    <w:rsid w:val="3EA798BB"/>
    <w:rsid w:val="3EB68795"/>
    <w:rsid w:val="3EC7732A"/>
    <w:rsid w:val="3F9805FF"/>
    <w:rsid w:val="4012A414"/>
    <w:rsid w:val="409E60D2"/>
    <w:rsid w:val="4141CF98"/>
    <w:rsid w:val="41FED759"/>
    <w:rsid w:val="43F809D9"/>
    <w:rsid w:val="44237B7C"/>
    <w:rsid w:val="45296B4E"/>
    <w:rsid w:val="459D6503"/>
    <w:rsid w:val="4656CB0C"/>
    <w:rsid w:val="46DC94D6"/>
    <w:rsid w:val="48B0809E"/>
    <w:rsid w:val="495D7AAA"/>
    <w:rsid w:val="49621863"/>
    <w:rsid w:val="4A236B41"/>
    <w:rsid w:val="4A482900"/>
    <w:rsid w:val="4A64B6E1"/>
    <w:rsid w:val="4A6A1D41"/>
    <w:rsid w:val="4A6F957D"/>
    <w:rsid w:val="4AC0EDEB"/>
    <w:rsid w:val="4AC5674F"/>
    <w:rsid w:val="4B01DA3B"/>
    <w:rsid w:val="4B09D3BE"/>
    <w:rsid w:val="4B326222"/>
    <w:rsid w:val="4C2EB787"/>
    <w:rsid w:val="4C5DBBE4"/>
    <w:rsid w:val="4C84823F"/>
    <w:rsid w:val="4D2688EB"/>
    <w:rsid w:val="4D405C62"/>
    <w:rsid w:val="4DAC5B6F"/>
    <w:rsid w:val="4E2052A0"/>
    <w:rsid w:val="4EF74FBA"/>
    <w:rsid w:val="4F1DFB57"/>
    <w:rsid w:val="4FFC942C"/>
    <w:rsid w:val="5033A135"/>
    <w:rsid w:val="50DDD855"/>
    <w:rsid w:val="512B6445"/>
    <w:rsid w:val="5205B0A0"/>
    <w:rsid w:val="52730B62"/>
    <w:rsid w:val="5440F406"/>
    <w:rsid w:val="546FA394"/>
    <w:rsid w:val="559E1210"/>
    <w:rsid w:val="561642E0"/>
    <w:rsid w:val="5662333B"/>
    <w:rsid w:val="567AC523"/>
    <w:rsid w:val="56975D59"/>
    <w:rsid w:val="5797B01F"/>
    <w:rsid w:val="57A12CA3"/>
    <w:rsid w:val="57AE34C2"/>
    <w:rsid w:val="57EF9FDC"/>
    <w:rsid w:val="58176675"/>
    <w:rsid w:val="587612F8"/>
    <w:rsid w:val="589C6B5E"/>
    <w:rsid w:val="58F04383"/>
    <w:rsid w:val="593865A5"/>
    <w:rsid w:val="597C1110"/>
    <w:rsid w:val="5A5072AC"/>
    <w:rsid w:val="5B56038D"/>
    <w:rsid w:val="5BE064F3"/>
    <w:rsid w:val="5CB98699"/>
    <w:rsid w:val="5D3F1EF2"/>
    <w:rsid w:val="5D4FC5B2"/>
    <w:rsid w:val="5DC29ACE"/>
    <w:rsid w:val="5DCF7959"/>
    <w:rsid w:val="5E1F1AF0"/>
    <w:rsid w:val="5E53F51D"/>
    <w:rsid w:val="5F9F5F7B"/>
    <w:rsid w:val="5FB50568"/>
    <w:rsid w:val="5FD63884"/>
    <w:rsid w:val="6033F74C"/>
    <w:rsid w:val="60BE396E"/>
    <w:rsid w:val="6175CB67"/>
    <w:rsid w:val="61D3DE07"/>
    <w:rsid w:val="62942341"/>
    <w:rsid w:val="63559D12"/>
    <w:rsid w:val="64741AD1"/>
    <w:rsid w:val="655D07F5"/>
    <w:rsid w:val="666CB725"/>
    <w:rsid w:val="6684F086"/>
    <w:rsid w:val="66D8C99E"/>
    <w:rsid w:val="689CBBB0"/>
    <w:rsid w:val="68E14E7A"/>
    <w:rsid w:val="68EED6E3"/>
    <w:rsid w:val="69744DF7"/>
    <w:rsid w:val="69CEE45C"/>
    <w:rsid w:val="69F1049A"/>
    <w:rsid w:val="6AF22BC4"/>
    <w:rsid w:val="6B975F26"/>
    <w:rsid w:val="6BAEF97F"/>
    <w:rsid w:val="6BCF237C"/>
    <w:rsid w:val="6D0E8C14"/>
    <w:rsid w:val="6D9AA702"/>
    <w:rsid w:val="6E2FDB5D"/>
    <w:rsid w:val="6E58B391"/>
    <w:rsid w:val="6E5BDCCD"/>
    <w:rsid w:val="6ECC5E21"/>
    <w:rsid w:val="6EFA9CEA"/>
    <w:rsid w:val="6F3280EF"/>
    <w:rsid w:val="6F5DE115"/>
    <w:rsid w:val="7025B38A"/>
    <w:rsid w:val="7034201A"/>
    <w:rsid w:val="70BBE9C0"/>
    <w:rsid w:val="7191AA08"/>
    <w:rsid w:val="71A4B4A6"/>
    <w:rsid w:val="71D8EB65"/>
    <w:rsid w:val="72DD7743"/>
    <w:rsid w:val="7302BF29"/>
    <w:rsid w:val="738387FC"/>
    <w:rsid w:val="73EF6C60"/>
    <w:rsid w:val="74B50C1F"/>
    <w:rsid w:val="75039FC6"/>
    <w:rsid w:val="75548D0D"/>
    <w:rsid w:val="756C99FF"/>
    <w:rsid w:val="7580AF9F"/>
    <w:rsid w:val="760D374F"/>
    <w:rsid w:val="76282DE0"/>
    <w:rsid w:val="76334E86"/>
    <w:rsid w:val="76AA2652"/>
    <w:rsid w:val="76AF752B"/>
    <w:rsid w:val="77CB8F50"/>
    <w:rsid w:val="77E472E4"/>
    <w:rsid w:val="782847A2"/>
    <w:rsid w:val="788303E7"/>
    <w:rsid w:val="78B1324E"/>
    <w:rsid w:val="78D81019"/>
    <w:rsid w:val="78E5472F"/>
    <w:rsid w:val="7A1907E8"/>
    <w:rsid w:val="7A58508E"/>
    <w:rsid w:val="7B00E241"/>
    <w:rsid w:val="7B8052E3"/>
    <w:rsid w:val="7BD1326C"/>
    <w:rsid w:val="7BD9AE2A"/>
    <w:rsid w:val="7C4876D4"/>
    <w:rsid w:val="7C659A57"/>
    <w:rsid w:val="7D4EF700"/>
    <w:rsid w:val="7D5FE143"/>
    <w:rsid w:val="7DAA4789"/>
    <w:rsid w:val="7DB068CB"/>
    <w:rsid w:val="7E1D4BBA"/>
    <w:rsid w:val="7E7445F7"/>
    <w:rsid w:val="7EE021B8"/>
    <w:rsid w:val="7F6B4621"/>
    <w:rsid w:val="7F926879"/>
    <w:rsid w:val="7FED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2B48"/>
  <w15:docId w15:val="{6598AB99-9B1B-42B0-9A9A-C6794F93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74"/>
    <w:rPr>
      <w:rFonts w:ascii="Calibri" w:eastAsia="Calibri" w:hAnsi="Calibri" w:cs="Calibri"/>
    </w:rPr>
  </w:style>
  <w:style w:type="paragraph" w:styleId="Heading1">
    <w:name w:val="heading 1"/>
    <w:basedOn w:val="Normal"/>
    <w:uiPriority w:val="9"/>
    <w:qFormat/>
    <w:rsid w:val="00103C3E"/>
    <w:pPr>
      <w:spacing w:line="534" w:lineRule="exact"/>
      <w:outlineLvl w:val="0"/>
    </w:pPr>
    <w:rPr>
      <w:b/>
      <w:bCs/>
      <w:sz w:val="48"/>
      <w:szCs w:val="48"/>
    </w:rPr>
  </w:style>
  <w:style w:type="paragraph" w:styleId="Heading2">
    <w:name w:val="heading 2"/>
    <w:basedOn w:val="Normal"/>
    <w:uiPriority w:val="9"/>
    <w:unhideWhenUsed/>
    <w:qFormat/>
    <w:rsid w:val="009C01DD"/>
    <w:pPr>
      <w:spacing w:line="256" w:lineRule="exact"/>
      <w:outlineLvl w:val="1"/>
    </w:pPr>
    <w:rPr>
      <w:b/>
      <w:bCs/>
      <w:color w:val="0070C0"/>
      <w:sz w:val="28"/>
      <w:szCs w:val="28"/>
      <w:u w:val="single"/>
    </w:rPr>
  </w:style>
  <w:style w:type="paragraph" w:styleId="Heading3">
    <w:name w:val="heading 3"/>
    <w:basedOn w:val="Normal"/>
    <w:link w:val="Heading3Char"/>
    <w:uiPriority w:val="9"/>
    <w:unhideWhenUsed/>
    <w:qFormat/>
    <w:rsid w:val="00F164C9"/>
    <w:pPr>
      <w:spacing w:line="242" w:lineRule="exact"/>
      <w:outlineLvl w:val="2"/>
    </w:pPr>
    <w:rPr>
      <w:b/>
      <w:bCs/>
      <w:i/>
      <w:iCs/>
      <w:sz w:val="24"/>
      <w:szCs w:val="24"/>
    </w:rPr>
  </w:style>
  <w:style w:type="paragraph" w:styleId="Heading4">
    <w:name w:val="heading 4"/>
    <w:basedOn w:val="Normal"/>
    <w:next w:val="Normal"/>
    <w:link w:val="Heading4Char"/>
    <w:uiPriority w:val="9"/>
    <w:unhideWhenUsed/>
    <w:qFormat/>
    <w:rsid w:val="00B42D15"/>
    <w:pPr>
      <w:keepNext/>
      <w:keepLines/>
      <w:spacing w:before="40"/>
      <w:outlineLvl w:val="3"/>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260C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42"/>
      <w:ind w:left="2188" w:right="2319" w:firstLine="449"/>
    </w:pPr>
    <w:rPr>
      <w:sz w:val="84"/>
      <w:szCs w:val="84"/>
    </w:rPr>
  </w:style>
  <w:style w:type="paragraph" w:styleId="ListParagraph">
    <w:name w:val="List Paragraph"/>
    <w:basedOn w:val="Normal"/>
    <w:uiPriority w:val="1"/>
    <w:qFormat/>
    <w:pPr>
      <w:spacing w:before="122"/>
      <w:ind w:left="660" w:hanging="446"/>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E302D9"/>
    <w:pPr>
      <w:widowControl/>
      <w:tabs>
        <w:tab w:val="center" w:pos="4680"/>
        <w:tab w:val="right" w:pos="9360"/>
      </w:tabs>
      <w:autoSpaceDE/>
      <w:autoSpaceDN/>
      <w:spacing w:before="120" w:after="120"/>
    </w:pPr>
    <w:rPr>
      <w:rFonts w:ascii="Garamond" w:eastAsiaTheme="minorHAnsi" w:hAnsi="Garamond" w:cstheme="minorBidi"/>
      <w:sz w:val="24"/>
    </w:rPr>
  </w:style>
  <w:style w:type="character" w:customStyle="1" w:styleId="FooterChar">
    <w:name w:val="Footer Char"/>
    <w:basedOn w:val="DefaultParagraphFont"/>
    <w:link w:val="Footer"/>
    <w:uiPriority w:val="99"/>
    <w:rsid w:val="00E302D9"/>
    <w:rPr>
      <w:rFonts w:ascii="Garamond" w:hAnsi="Garamond"/>
      <w:sz w:val="24"/>
    </w:rPr>
  </w:style>
  <w:style w:type="character" w:styleId="Hyperlink">
    <w:name w:val="Hyperlink"/>
    <w:basedOn w:val="DefaultParagraphFont"/>
    <w:uiPriority w:val="99"/>
    <w:unhideWhenUsed/>
    <w:rsid w:val="00E302D9"/>
    <w:rPr>
      <w:color w:val="0000FF"/>
      <w:u w:val="single"/>
    </w:rPr>
  </w:style>
  <w:style w:type="paragraph" w:styleId="TOC2">
    <w:name w:val="toc 2"/>
    <w:basedOn w:val="Normal"/>
    <w:next w:val="Normal"/>
    <w:autoRedefine/>
    <w:uiPriority w:val="39"/>
    <w:unhideWhenUsed/>
    <w:rsid w:val="00C861C2"/>
    <w:pPr>
      <w:tabs>
        <w:tab w:val="left" w:pos="880"/>
        <w:tab w:val="right" w:leader="dot" w:pos="9350"/>
      </w:tabs>
      <w:ind w:left="220"/>
    </w:pPr>
    <w:rPr>
      <w:rFonts w:ascii="Arial" w:hAnsi="Arial" w:cs="Arial"/>
      <w:smallCaps/>
      <w:noProof/>
      <w:sz w:val="20"/>
      <w:szCs w:val="20"/>
    </w:rPr>
  </w:style>
  <w:style w:type="paragraph" w:styleId="TOC1">
    <w:name w:val="toc 1"/>
    <w:basedOn w:val="Normal"/>
    <w:next w:val="Normal"/>
    <w:link w:val="TOC1Char"/>
    <w:autoRedefine/>
    <w:uiPriority w:val="39"/>
    <w:unhideWhenUsed/>
    <w:rsid w:val="005E6BA4"/>
    <w:pPr>
      <w:tabs>
        <w:tab w:val="left" w:pos="440"/>
        <w:tab w:val="right" w:leader="dot" w:pos="9350"/>
      </w:tabs>
      <w:spacing w:before="120" w:after="120"/>
    </w:pPr>
    <w:rPr>
      <w:rFonts w:asciiTheme="minorHAnsi" w:hAnsiTheme="minorHAnsi" w:cstheme="minorHAnsi"/>
      <w:b/>
      <w:bCs/>
      <w:caps/>
      <w:sz w:val="20"/>
      <w:szCs w:val="20"/>
    </w:rPr>
  </w:style>
  <w:style w:type="paragraph" w:customStyle="1" w:styleId="AppendixHeading1">
    <w:name w:val="Appendix Heading 1"/>
    <w:basedOn w:val="Heading1"/>
    <w:link w:val="AppendixHeading1Char"/>
    <w:autoRedefine/>
    <w:qFormat/>
    <w:rsid w:val="00E302D9"/>
    <w:pPr>
      <w:keepNext/>
      <w:widowControl/>
      <w:tabs>
        <w:tab w:val="num" w:pos="0"/>
      </w:tabs>
      <w:autoSpaceDE/>
      <w:autoSpaceDN/>
      <w:spacing w:before="240" w:after="240" w:line="240" w:lineRule="auto"/>
      <w:ind w:left="1890" w:hanging="1890"/>
    </w:pPr>
    <w:rPr>
      <w:rFonts w:ascii="Century Gothic" w:eastAsiaTheme="majorEastAsia" w:hAnsi="Century Gothic" w:cstheme="majorBidi"/>
      <w:b w:val="0"/>
      <w:color w:val="0070C0"/>
      <w:kern w:val="32"/>
      <w:sz w:val="28"/>
      <w:szCs w:val="28"/>
    </w:rPr>
  </w:style>
  <w:style w:type="character" w:customStyle="1" w:styleId="TOC1Char">
    <w:name w:val="TOC 1 Char"/>
    <w:basedOn w:val="DefaultParagraphFont"/>
    <w:link w:val="TOC1"/>
    <w:uiPriority w:val="39"/>
    <w:rsid w:val="005E6BA4"/>
    <w:rPr>
      <w:rFonts w:eastAsia="Calibri" w:cstheme="minorHAnsi"/>
      <w:b/>
      <w:bCs/>
      <w:caps/>
      <w:sz w:val="20"/>
      <w:szCs w:val="20"/>
    </w:rPr>
  </w:style>
  <w:style w:type="character" w:customStyle="1" w:styleId="AppendixHeading1Char">
    <w:name w:val="Appendix Heading 1 Char"/>
    <w:basedOn w:val="DefaultParagraphFont"/>
    <w:link w:val="AppendixHeading1"/>
    <w:rsid w:val="00E302D9"/>
    <w:rPr>
      <w:rFonts w:ascii="Century Gothic" w:eastAsiaTheme="majorEastAsia" w:hAnsi="Century Gothic" w:cstheme="majorBidi"/>
      <w:bCs/>
      <w:color w:val="0070C0"/>
      <w:kern w:val="32"/>
      <w:sz w:val="28"/>
      <w:szCs w:val="28"/>
    </w:rPr>
  </w:style>
  <w:style w:type="paragraph" w:styleId="TableofFigures">
    <w:name w:val="table of figures"/>
    <w:basedOn w:val="Normal"/>
    <w:next w:val="Normal"/>
    <w:uiPriority w:val="99"/>
    <w:unhideWhenUsed/>
    <w:rsid w:val="00E302D9"/>
    <w:pPr>
      <w:widowControl/>
      <w:autoSpaceDE/>
      <w:autoSpaceDN/>
      <w:spacing w:before="120" w:line="259" w:lineRule="auto"/>
    </w:pPr>
    <w:rPr>
      <w:rFonts w:ascii="Garamond" w:eastAsiaTheme="minorHAnsi" w:hAnsi="Garamond" w:cstheme="minorBidi"/>
      <w:sz w:val="24"/>
    </w:rPr>
  </w:style>
  <w:style w:type="paragraph" w:styleId="TOC3">
    <w:name w:val="toc 3"/>
    <w:basedOn w:val="Normal"/>
    <w:next w:val="Normal"/>
    <w:autoRedefine/>
    <w:uiPriority w:val="39"/>
    <w:unhideWhenUsed/>
    <w:rsid w:val="00036278"/>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03627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3627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3627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3627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3627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36278"/>
    <w:pPr>
      <w:ind w:left="1760"/>
    </w:pPr>
    <w:rPr>
      <w:rFonts w:asciiTheme="minorHAnsi" w:hAnsiTheme="minorHAnsi" w:cstheme="minorHAnsi"/>
      <w:sz w:val="18"/>
      <w:szCs w:val="18"/>
    </w:rPr>
  </w:style>
  <w:style w:type="paragraph" w:styleId="Header">
    <w:name w:val="header"/>
    <w:basedOn w:val="Normal"/>
    <w:link w:val="HeaderChar"/>
    <w:uiPriority w:val="99"/>
    <w:unhideWhenUsed/>
    <w:rsid w:val="00036278"/>
    <w:pPr>
      <w:tabs>
        <w:tab w:val="center" w:pos="4680"/>
        <w:tab w:val="right" w:pos="9360"/>
      </w:tabs>
    </w:pPr>
  </w:style>
  <w:style w:type="character" w:customStyle="1" w:styleId="HeaderChar">
    <w:name w:val="Header Char"/>
    <w:basedOn w:val="DefaultParagraphFont"/>
    <w:link w:val="Header"/>
    <w:uiPriority w:val="99"/>
    <w:rsid w:val="00036278"/>
    <w:rPr>
      <w:rFonts w:ascii="Calibri" w:eastAsia="Calibri" w:hAnsi="Calibri" w:cs="Calibri"/>
    </w:rPr>
  </w:style>
  <w:style w:type="character" w:styleId="PageNumber">
    <w:name w:val="page number"/>
    <w:basedOn w:val="DefaultParagraphFont"/>
    <w:uiPriority w:val="99"/>
    <w:semiHidden/>
    <w:unhideWhenUsed/>
    <w:rsid w:val="00166424"/>
  </w:style>
  <w:style w:type="paragraph" w:styleId="FootnoteText">
    <w:name w:val="footnote text"/>
    <w:basedOn w:val="Normal"/>
    <w:link w:val="FootnoteTextChar"/>
    <w:uiPriority w:val="99"/>
    <w:semiHidden/>
    <w:unhideWhenUsed/>
    <w:rsid w:val="00A1352E"/>
    <w:rPr>
      <w:sz w:val="20"/>
      <w:szCs w:val="20"/>
    </w:rPr>
  </w:style>
  <w:style w:type="character" w:customStyle="1" w:styleId="FootnoteTextChar">
    <w:name w:val="Footnote Text Char"/>
    <w:basedOn w:val="DefaultParagraphFont"/>
    <w:link w:val="FootnoteText"/>
    <w:uiPriority w:val="99"/>
    <w:semiHidden/>
    <w:rsid w:val="00A1352E"/>
    <w:rPr>
      <w:rFonts w:ascii="Calibri" w:eastAsia="Calibri" w:hAnsi="Calibri" w:cs="Calibri"/>
      <w:sz w:val="20"/>
      <w:szCs w:val="20"/>
    </w:rPr>
  </w:style>
  <w:style w:type="character" w:styleId="FootnoteReference">
    <w:name w:val="footnote reference"/>
    <w:basedOn w:val="DefaultParagraphFont"/>
    <w:uiPriority w:val="99"/>
    <w:semiHidden/>
    <w:unhideWhenUsed/>
    <w:rsid w:val="00A1352E"/>
    <w:rPr>
      <w:vertAlign w:val="superscript"/>
    </w:rPr>
  </w:style>
  <w:style w:type="character" w:styleId="UnresolvedMention">
    <w:name w:val="Unresolved Mention"/>
    <w:basedOn w:val="DefaultParagraphFont"/>
    <w:uiPriority w:val="99"/>
    <w:unhideWhenUsed/>
    <w:rsid w:val="00A1352E"/>
    <w:rPr>
      <w:color w:val="605E5C"/>
      <w:shd w:val="clear" w:color="auto" w:fill="E1DFDD"/>
    </w:rPr>
  </w:style>
  <w:style w:type="character" w:customStyle="1" w:styleId="Heading4Char">
    <w:name w:val="Heading 4 Char"/>
    <w:basedOn w:val="DefaultParagraphFont"/>
    <w:link w:val="Heading4"/>
    <w:uiPriority w:val="9"/>
    <w:rsid w:val="00B42D15"/>
    <w:rPr>
      <w:rFonts w:asciiTheme="majorHAnsi" w:eastAsiaTheme="majorEastAsia" w:hAnsiTheme="majorHAnsi" w:cstheme="majorBidi"/>
      <w:i/>
      <w:iCs/>
    </w:rPr>
  </w:style>
  <w:style w:type="paragraph" w:styleId="NormalWeb">
    <w:name w:val="Normal (Web)"/>
    <w:basedOn w:val="Normal"/>
    <w:uiPriority w:val="99"/>
    <w:semiHidden/>
    <w:unhideWhenUsed/>
    <w:rsid w:val="0066564F"/>
    <w:pPr>
      <w:widowControl/>
      <w:autoSpaceDE/>
      <w:autoSpaceDN/>
      <w:spacing w:before="100" w:beforeAutospacing="1" w:after="100" w:afterAutospacing="1"/>
    </w:pPr>
    <w:rPr>
      <w:rFonts w:ascii="Times New Roman" w:eastAsia="Times New Roman" w:hAnsi="Times New Roman" w:cs="Times New Roman"/>
      <w:sz w:val="24"/>
      <w:szCs w:val="24"/>
    </w:rPr>
  </w:style>
  <w:style w:type="numbering" w:customStyle="1" w:styleId="CurrentList1">
    <w:name w:val="Current List1"/>
    <w:uiPriority w:val="99"/>
    <w:rsid w:val="006F2C25"/>
    <w:pPr>
      <w:numPr>
        <w:numId w:val="1"/>
      </w:numPr>
    </w:pPr>
  </w:style>
  <w:style w:type="character" w:customStyle="1" w:styleId="Heading9Char">
    <w:name w:val="Heading 9 Char"/>
    <w:basedOn w:val="DefaultParagraphFont"/>
    <w:link w:val="Heading9"/>
    <w:uiPriority w:val="9"/>
    <w:semiHidden/>
    <w:rsid w:val="00260CC5"/>
    <w:rPr>
      <w:rFonts w:asciiTheme="majorHAnsi" w:eastAsiaTheme="majorEastAsia" w:hAnsiTheme="majorHAnsi" w:cstheme="majorBidi"/>
      <w:i/>
      <w:iCs/>
      <w:color w:val="272727" w:themeColor="text1" w:themeTint="D8"/>
      <w:sz w:val="21"/>
      <w:szCs w:val="21"/>
    </w:rPr>
  </w:style>
  <w:style w:type="numbering" w:customStyle="1" w:styleId="CurrentList2">
    <w:name w:val="Current List2"/>
    <w:uiPriority w:val="99"/>
    <w:rsid w:val="00F87D00"/>
    <w:pPr>
      <w:numPr>
        <w:numId w:val="2"/>
      </w:numPr>
    </w:pPr>
  </w:style>
  <w:style w:type="numbering" w:customStyle="1" w:styleId="CurrentList3">
    <w:name w:val="Current List3"/>
    <w:uiPriority w:val="99"/>
    <w:rsid w:val="00F87D00"/>
    <w:pPr>
      <w:numPr>
        <w:numId w:val="3"/>
      </w:numPr>
    </w:pPr>
  </w:style>
  <w:style w:type="numbering" w:customStyle="1" w:styleId="CurrentList4">
    <w:name w:val="Current List4"/>
    <w:uiPriority w:val="99"/>
    <w:rsid w:val="005E6BA4"/>
    <w:pPr>
      <w:numPr>
        <w:numId w:val="4"/>
      </w:numPr>
    </w:pPr>
  </w:style>
  <w:style w:type="table" w:styleId="TableGrid">
    <w:name w:val="Table Grid"/>
    <w:basedOn w:val="TableNormal"/>
    <w:uiPriority w:val="39"/>
    <w:rsid w:val="000F5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FB08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EA7F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BodyTextChar">
    <w:name w:val="Body Text Char"/>
    <w:basedOn w:val="DefaultParagraphFont"/>
    <w:link w:val="BodyText"/>
    <w:uiPriority w:val="1"/>
    <w:rsid w:val="006A4773"/>
    <w:rPr>
      <w:rFonts w:ascii="Calibri" w:eastAsia="Calibri" w:hAnsi="Calibri" w:cs="Calibri"/>
      <w:sz w:val="20"/>
      <w:szCs w:val="20"/>
    </w:rPr>
  </w:style>
  <w:style w:type="paragraph" w:styleId="Revision">
    <w:name w:val="Revision"/>
    <w:hidden/>
    <w:uiPriority w:val="99"/>
    <w:semiHidden/>
    <w:rsid w:val="001C759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31261"/>
    <w:rPr>
      <w:sz w:val="16"/>
      <w:szCs w:val="16"/>
    </w:rPr>
  </w:style>
  <w:style w:type="paragraph" w:styleId="CommentText">
    <w:name w:val="annotation text"/>
    <w:basedOn w:val="Normal"/>
    <w:link w:val="CommentTextChar"/>
    <w:uiPriority w:val="99"/>
    <w:unhideWhenUsed/>
    <w:rsid w:val="00C31261"/>
    <w:rPr>
      <w:sz w:val="20"/>
      <w:szCs w:val="20"/>
    </w:rPr>
  </w:style>
  <w:style w:type="character" w:customStyle="1" w:styleId="CommentTextChar">
    <w:name w:val="Comment Text Char"/>
    <w:basedOn w:val="DefaultParagraphFont"/>
    <w:link w:val="CommentText"/>
    <w:uiPriority w:val="99"/>
    <w:rsid w:val="00C312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1261"/>
    <w:rPr>
      <w:b/>
      <w:bCs/>
    </w:rPr>
  </w:style>
  <w:style w:type="character" w:customStyle="1" w:styleId="CommentSubjectChar">
    <w:name w:val="Comment Subject Char"/>
    <w:basedOn w:val="CommentTextChar"/>
    <w:link w:val="CommentSubject"/>
    <w:uiPriority w:val="99"/>
    <w:semiHidden/>
    <w:rsid w:val="00C31261"/>
    <w:rPr>
      <w:rFonts w:ascii="Calibri" w:eastAsia="Calibri" w:hAnsi="Calibri" w:cs="Calibri"/>
      <w:b/>
      <w:bCs/>
      <w:sz w:val="20"/>
      <w:szCs w:val="20"/>
    </w:rPr>
  </w:style>
  <w:style w:type="paragraph" w:styleId="EndnoteText">
    <w:name w:val="endnote text"/>
    <w:basedOn w:val="Normal"/>
    <w:link w:val="EndnoteTextChar"/>
    <w:uiPriority w:val="99"/>
    <w:unhideWhenUsed/>
    <w:rsid w:val="003E3202"/>
    <w:rPr>
      <w:sz w:val="20"/>
      <w:szCs w:val="20"/>
    </w:rPr>
  </w:style>
  <w:style w:type="character" w:customStyle="1" w:styleId="EndnoteTextChar">
    <w:name w:val="Endnote Text Char"/>
    <w:basedOn w:val="DefaultParagraphFont"/>
    <w:link w:val="EndnoteText"/>
    <w:uiPriority w:val="99"/>
    <w:rsid w:val="003E3202"/>
    <w:rPr>
      <w:rFonts w:ascii="Calibri" w:eastAsia="Calibri" w:hAnsi="Calibri" w:cs="Calibri"/>
      <w:sz w:val="20"/>
      <w:szCs w:val="20"/>
    </w:rPr>
  </w:style>
  <w:style w:type="character" w:styleId="EndnoteReference">
    <w:name w:val="endnote reference"/>
    <w:basedOn w:val="DefaultParagraphFont"/>
    <w:uiPriority w:val="99"/>
    <w:semiHidden/>
    <w:unhideWhenUsed/>
    <w:rsid w:val="003E3202"/>
    <w:rPr>
      <w:vertAlign w:val="superscript"/>
    </w:rPr>
  </w:style>
  <w:style w:type="character" w:styleId="FollowedHyperlink">
    <w:name w:val="FollowedHyperlink"/>
    <w:basedOn w:val="DefaultParagraphFont"/>
    <w:uiPriority w:val="99"/>
    <w:semiHidden/>
    <w:unhideWhenUsed/>
    <w:rsid w:val="007F3739"/>
    <w:rPr>
      <w:color w:val="800080" w:themeColor="followedHyperlink"/>
      <w:u w:val="single"/>
    </w:rPr>
  </w:style>
  <w:style w:type="character" w:styleId="Mention">
    <w:name w:val="Mention"/>
    <w:basedOn w:val="DefaultParagraphFont"/>
    <w:uiPriority w:val="99"/>
    <w:unhideWhenUsed/>
    <w:rsid w:val="006B70C2"/>
    <w:rPr>
      <w:color w:val="2B579A"/>
      <w:shd w:val="clear" w:color="auto" w:fill="E1DFDD"/>
    </w:rPr>
  </w:style>
  <w:style w:type="character" w:customStyle="1" w:styleId="Heading3Char">
    <w:name w:val="Heading 3 Char"/>
    <w:basedOn w:val="DefaultParagraphFont"/>
    <w:link w:val="Heading3"/>
    <w:uiPriority w:val="9"/>
    <w:rsid w:val="008550D1"/>
    <w:rPr>
      <w:rFonts w:ascii="Calibri" w:eastAsia="Calibri" w:hAnsi="Calibri" w:cs="Calibri"/>
      <w:b/>
      <w:bCs/>
      <w:i/>
      <w:iCs/>
      <w:sz w:val="24"/>
      <w:szCs w:val="24"/>
    </w:rPr>
  </w:style>
  <w:style w:type="paragraph" w:styleId="TOCHeading">
    <w:name w:val="TOC Heading"/>
    <w:basedOn w:val="Heading1"/>
    <w:next w:val="Normal"/>
    <w:uiPriority w:val="39"/>
    <w:unhideWhenUsed/>
    <w:qFormat/>
    <w:rsid w:val="00024DBB"/>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Caption">
    <w:name w:val="caption"/>
    <w:basedOn w:val="Normal"/>
    <w:next w:val="Normal"/>
    <w:uiPriority w:val="35"/>
    <w:unhideWhenUsed/>
    <w:qFormat/>
    <w:rsid w:val="00030BF1"/>
    <w:pPr>
      <w:spacing w:after="200"/>
    </w:pPr>
    <w:rPr>
      <w:i/>
      <w:iCs/>
      <w:color w:val="1F497D" w:themeColor="text2"/>
      <w:sz w:val="18"/>
      <w:szCs w:val="18"/>
    </w:rPr>
  </w:style>
  <w:style w:type="character" w:styleId="Strong">
    <w:name w:val="Strong"/>
    <w:basedOn w:val="DefaultParagraphFont"/>
    <w:uiPriority w:val="22"/>
    <w:qFormat/>
    <w:rsid w:val="002B1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8753">
      <w:bodyDiv w:val="1"/>
      <w:marLeft w:val="0"/>
      <w:marRight w:val="0"/>
      <w:marTop w:val="0"/>
      <w:marBottom w:val="0"/>
      <w:divBdr>
        <w:top w:val="none" w:sz="0" w:space="0" w:color="auto"/>
        <w:left w:val="none" w:sz="0" w:space="0" w:color="auto"/>
        <w:bottom w:val="none" w:sz="0" w:space="0" w:color="auto"/>
        <w:right w:val="none" w:sz="0" w:space="0" w:color="auto"/>
      </w:divBdr>
    </w:div>
    <w:div w:id="693262516">
      <w:bodyDiv w:val="1"/>
      <w:marLeft w:val="0"/>
      <w:marRight w:val="0"/>
      <w:marTop w:val="0"/>
      <w:marBottom w:val="0"/>
      <w:divBdr>
        <w:top w:val="none" w:sz="0" w:space="0" w:color="auto"/>
        <w:left w:val="none" w:sz="0" w:space="0" w:color="auto"/>
        <w:bottom w:val="none" w:sz="0" w:space="0" w:color="auto"/>
        <w:right w:val="none" w:sz="0" w:space="0" w:color="auto"/>
      </w:divBdr>
      <w:divsChild>
        <w:div w:id="1505440692">
          <w:marLeft w:val="0"/>
          <w:marRight w:val="0"/>
          <w:marTop w:val="0"/>
          <w:marBottom w:val="0"/>
          <w:divBdr>
            <w:top w:val="none" w:sz="0" w:space="0" w:color="auto"/>
            <w:left w:val="none" w:sz="0" w:space="0" w:color="auto"/>
            <w:bottom w:val="none" w:sz="0" w:space="0" w:color="auto"/>
            <w:right w:val="none" w:sz="0" w:space="0" w:color="auto"/>
          </w:divBdr>
          <w:divsChild>
            <w:div w:id="320083675">
              <w:marLeft w:val="0"/>
              <w:marRight w:val="0"/>
              <w:marTop w:val="0"/>
              <w:marBottom w:val="0"/>
              <w:divBdr>
                <w:top w:val="none" w:sz="0" w:space="0" w:color="auto"/>
                <w:left w:val="none" w:sz="0" w:space="0" w:color="auto"/>
                <w:bottom w:val="none" w:sz="0" w:space="0" w:color="auto"/>
                <w:right w:val="none" w:sz="0" w:space="0" w:color="auto"/>
              </w:divBdr>
              <w:divsChild>
                <w:div w:id="4664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6166">
      <w:bodyDiv w:val="1"/>
      <w:marLeft w:val="0"/>
      <w:marRight w:val="0"/>
      <w:marTop w:val="0"/>
      <w:marBottom w:val="0"/>
      <w:divBdr>
        <w:top w:val="none" w:sz="0" w:space="0" w:color="auto"/>
        <w:left w:val="none" w:sz="0" w:space="0" w:color="auto"/>
        <w:bottom w:val="none" w:sz="0" w:space="0" w:color="auto"/>
        <w:right w:val="none" w:sz="0" w:space="0" w:color="auto"/>
      </w:divBdr>
      <w:divsChild>
        <w:div w:id="555509418">
          <w:marLeft w:val="0"/>
          <w:marRight w:val="0"/>
          <w:marTop w:val="0"/>
          <w:marBottom w:val="0"/>
          <w:divBdr>
            <w:top w:val="none" w:sz="0" w:space="0" w:color="auto"/>
            <w:left w:val="none" w:sz="0" w:space="0" w:color="auto"/>
            <w:bottom w:val="none" w:sz="0" w:space="0" w:color="auto"/>
            <w:right w:val="none" w:sz="0" w:space="0" w:color="auto"/>
          </w:divBdr>
          <w:divsChild>
            <w:div w:id="1598513947">
              <w:marLeft w:val="0"/>
              <w:marRight w:val="0"/>
              <w:marTop w:val="0"/>
              <w:marBottom w:val="0"/>
              <w:divBdr>
                <w:top w:val="none" w:sz="0" w:space="0" w:color="auto"/>
                <w:left w:val="none" w:sz="0" w:space="0" w:color="auto"/>
                <w:bottom w:val="none" w:sz="0" w:space="0" w:color="auto"/>
                <w:right w:val="none" w:sz="0" w:space="0" w:color="auto"/>
              </w:divBdr>
              <w:divsChild>
                <w:div w:id="9457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262">
      <w:bodyDiv w:val="1"/>
      <w:marLeft w:val="0"/>
      <w:marRight w:val="0"/>
      <w:marTop w:val="0"/>
      <w:marBottom w:val="0"/>
      <w:divBdr>
        <w:top w:val="none" w:sz="0" w:space="0" w:color="auto"/>
        <w:left w:val="none" w:sz="0" w:space="0" w:color="auto"/>
        <w:bottom w:val="none" w:sz="0" w:space="0" w:color="auto"/>
        <w:right w:val="none" w:sz="0" w:space="0" w:color="auto"/>
      </w:divBdr>
      <w:divsChild>
        <w:div w:id="372972601">
          <w:marLeft w:val="0"/>
          <w:marRight w:val="0"/>
          <w:marTop w:val="0"/>
          <w:marBottom w:val="0"/>
          <w:divBdr>
            <w:top w:val="none" w:sz="0" w:space="0" w:color="auto"/>
            <w:left w:val="none" w:sz="0" w:space="0" w:color="auto"/>
            <w:bottom w:val="none" w:sz="0" w:space="0" w:color="auto"/>
            <w:right w:val="none" w:sz="0" w:space="0" w:color="auto"/>
          </w:divBdr>
          <w:divsChild>
            <w:div w:id="1674994178">
              <w:marLeft w:val="0"/>
              <w:marRight w:val="0"/>
              <w:marTop w:val="0"/>
              <w:marBottom w:val="0"/>
              <w:divBdr>
                <w:top w:val="none" w:sz="0" w:space="0" w:color="auto"/>
                <w:left w:val="none" w:sz="0" w:space="0" w:color="auto"/>
                <w:bottom w:val="none" w:sz="0" w:space="0" w:color="auto"/>
                <w:right w:val="none" w:sz="0" w:space="0" w:color="auto"/>
              </w:divBdr>
              <w:divsChild>
                <w:div w:id="313531386">
                  <w:marLeft w:val="0"/>
                  <w:marRight w:val="0"/>
                  <w:marTop w:val="0"/>
                  <w:marBottom w:val="0"/>
                  <w:divBdr>
                    <w:top w:val="none" w:sz="0" w:space="0" w:color="auto"/>
                    <w:left w:val="none" w:sz="0" w:space="0" w:color="auto"/>
                    <w:bottom w:val="none" w:sz="0" w:space="0" w:color="auto"/>
                    <w:right w:val="none" w:sz="0" w:space="0" w:color="auto"/>
                  </w:divBdr>
                  <w:divsChild>
                    <w:div w:id="949360805">
                      <w:marLeft w:val="0"/>
                      <w:marRight w:val="0"/>
                      <w:marTop w:val="0"/>
                      <w:marBottom w:val="0"/>
                      <w:divBdr>
                        <w:top w:val="none" w:sz="0" w:space="0" w:color="auto"/>
                        <w:left w:val="none" w:sz="0" w:space="0" w:color="auto"/>
                        <w:bottom w:val="none" w:sz="0" w:space="0" w:color="auto"/>
                        <w:right w:val="none" w:sz="0" w:space="0" w:color="auto"/>
                      </w:divBdr>
                      <w:divsChild>
                        <w:div w:id="5232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33234">
          <w:marLeft w:val="0"/>
          <w:marRight w:val="0"/>
          <w:marTop w:val="0"/>
          <w:marBottom w:val="0"/>
          <w:divBdr>
            <w:top w:val="none" w:sz="0" w:space="0" w:color="auto"/>
            <w:left w:val="none" w:sz="0" w:space="0" w:color="auto"/>
            <w:bottom w:val="none" w:sz="0" w:space="0" w:color="auto"/>
            <w:right w:val="none" w:sz="0" w:space="0" w:color="auto"/>
          </w:divBdr>
          <w:divsChild>
            <w:div w:id="1316376392">
              <w:marLeft w:val="0"/>
              <w:marRight w:val="0"/>
              <w:marTop w:val="0"/>
              <w:marBottom w:val="0"/>
              <w:divBdr>
                <w:top w:val="none" w:sz="0" w:space="0" w:color="auto"/>
                <w:left w:val="none" w:sz="0" w:space="0" w:color="auto"/>
                <w:bottom w:val="none" w:sz="0" w:space="0" w:color="auto"/>
                <w:right w:val="none" w:sz="0" w:space="0" w:color="auto"/>
              </w:divBdr>
              <w:divsChild>
                <w:div w:id="2079207062">
                  <w:marLeft w:val="0"/>
                  <w:marRight w:val="0"/>
                  <w:marTop w:val="0"/>
                  <w:marBottom w:val="0"/>
                  <w:divBdr>
                    <w:top w:val="none" w:sz="0" w:space="0" w:color="auto"/>
                    <w:left w:val="none" w:sz="0" w:space="0" w:color="auto"/>
                    <w:bottom w:val="none" w:sz="0" w:space="0" w:color="auto"/>
                    <w:right w:val="none" w:sz="0" w:space="0" w:color="auto"/>
                  </w:divBdr>
                  <w:divsChild>
                    <w:div w:id="46882365">
                      <w:marLeft w:val="0"/>
                      <w:marRight w:val="0"/>
                      <w:marTop w:val="0"/>
                      <w:marBottom w:val="0"/>
                      <w:divBdr>
                        <w:top w:val="none" w:sz="0" w:space="0" w:color="auto"/>
                        <w:left w:val="none" w:sz="0" w:space="0" w:color="auto"/>
                        <w:bottom w:val="none" w:sz="0" w:space="0" w:color="auto"/>
                        <w:right w:val="none" w:sz="0" w:space="0" w:color="auto"/>
                      </w:divBdr>
                      <w:divsChild>
                        <w:div w:id="199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92539">
          <w:marLeft w:val="0"/>
          <w:marRight w:val="0"/>
          <w:marTop w:val="0"/>
          <w:marBottom w:val="0"/>
          <w:divBdr>
            <w:top w:val="none" w:sz="0" w:space="0" w:color="auto"/>
            <w:left w:val="none" w:sz="0" w:space="0" w:color="auto"/>
            <w:bottom w:val="none" w:sz="0" w:space="0" w:color="auto"/>
            <w:right w:val="none" w:sz="0" w:space="0" w:color="auto"/>
          </w:divBdr>
          <w:divsChild>
            <w:div w:id="379787563">
              <w:marLeft w:val="0"/>
              <w:marRight w:val="0"/>
              <w:marTop w:val="0"/>
              <w:marBottom w:val="0"/>
              <w:divBdr>
                <w:top w:val="none" w:sz="0" w:space="0" w:color="auto"/>
                <w:left w:val="none" w:sz="0" w:space="0" w:color="auto"/>
                <w:bottom w:val="none" w:sz="0" w:space="0" w:color="auto"/>
                <w:right w:val="none" w:sz="0" w:space="0" w:color="auto"/>
              </w:divBdr>
              <w:divsChild>
                <w:div w:id="86971701">
                  <w:marLeft w:val="0"/>
                  <w:marRight w:val="0"/>
                  <w:marTop w:val="0"/>
                  <w:marBottom w:val="0"/>
                  <w:divBdr>
                    <w:top w:val="none" w:sz="0" w:space="0" w:color="auto"/>
                    <w:left w:val="none" w:sz="0" w:space="0" w:color="auto"/>
                    <w:bottom w:val="none" w:sz="0" w:space="0" w:color="auto"/>
                    <w:right w:val="none" w:sz="0" w:space="0" w:color="auto"/>
                  </w:divBdr>
                  <w:divsChild>
                    <w:div w:id="567425301">
                      <w:marLeft w:val="0"/>
                      <w:marRight w:val="0"/>
                      <w:marTop w:val="0"/>
                      <w:marBottom w:val="0"/>
                      <w:divBdr>
                        <w:top w:val="none" w:sz="0" w:space="0" w:color="auto"/>
                        <w:left w:val="none" w:sz="0" w:space="0" w:color="auto"/>
                        <w:bottom w:val="none" w:sz="0" w:space="0" w:color="auto"/>
                        <w:right w:val="none" w:sz="0" w:space="0" w:color="auto"/>
                      </w:divBdr>
                      <w:divsChild>
                        <w:div w:id="241138454">
                          <w:marLeft w:val="0"/>
                          <w:marRight w:val="0"/>
                          <w:marTop w:val="0"/>
                          <w:marBottom w:val="0"/>
                          <w:divBdr>
                            <w:top w:val="none" w:sz="0" w:space="0" w:color="auto"/>
                            <w:left w:val="none" w:sz="0" w:space="0" w:color="auto"/>
                            <w:bottom w:val="none" w:sz="0" w:space="0" w:color="auto"/>
                            <w:right w:val="none" w:sz="0" w:space="0" w:color="auto"/>
                          </w:divBdr>
                          <w:divsChild>
                            <w:div w:id="1222984996">
                              <w:marLeft w:val="0"/>
                              <w:marRight w:val="0"/>
                              <w:marTop w:val="0"/>
                              <w:marBottom w:val="0"/>
                              <w:divBdr>
                                <w:top w:val="none" w:sz="0" w:space="0" w:color="auto"/>
                                <w:left w:val="none" w:sz="0" w:space="0" w:color="auto"/>
                                <w:bottom w:val="none" w:sz="0" w:space="0" w:color="auto"/>
                                <w:right w:val="none" w:sz="0" w:space="0" w:color="auto"/>
                              </w:divBdr>
                              <w:divsChild>
                                <w:div w:id="1726879761">
                                  <w:marLeft w:val="0"/>
                                  <w:marRight w:val="0"/>
                                  <w:marTop w:val="0"/>
                                  <w:marBottom w:val="0"/>
                                  <w:divBdr>
                                    <w:top w:val="none" w:sz="0" w:space="0" w:color="auto"/>
                                    <w:left w:val="none" w:sz="0" w:space="0" w:color="auto"/>
                                    <w:bottom w:val="none" w:sz="0" w:space="0" w:color="auto"/>
                                    <w:right w:val="none" w:sz="0" w:space="0" w:color="auto"/>
                                  </w:divBdr>
                                  <w:divsChild>
                                    <w:div w:id="1464929975">
                                      <w:marLeft w:val="0"/>
                                      <w:marRight w:val="0"/>
                                      <w:marTop w:val="0"/>
                                      <w:marBottom w:val="0"/>
                                      <w:divBdr>
                                        <w:top w:val="none" w:sz="0" w:space="0" w:color="auto"/>
                                        <w:left w:val="none" w:sz="0" w:space="0" w:color="auto"/>
                                        <w:bottom w:val="none" w:sz="0" w:space="0" w:color="auto"/>
                                        <w:right w:val="none" w:sz="0" w:space="0" w:color="auto"/>
                                      </w:divBdr>
                                    </w:div>
                                    <w:div w:id="2013532364">
                                      <w:marLeft w:val="0"/>
                                      <w:marRight w:val="0"/>
                                      <w:marTop w:val="0"/>
                                      <w:marBottom w:val="0"/>
                                      <w:divBdr>
                                        <w:top w:val="none" w:sz="0" w:space="0" w:color="auto"/>
                                        <w:left w:val="none" w:sz="0" w:space="0" w:color="auto"/>
                                        <w:bottom w:val="none" w:sz="0" w:space="0" w:color="auto"/>
                                        <w:right w:val="none" w:sz="0" w:space="0" w:color="auto"/>
                                      </w:divBdr>
                                      <w:divsChild>
                                        <w:div w:id="354969260">
                                          <w:marLeft w:val="0"/>
                                          <w:marRight w:val="0"/>
                                          <w:marTop w:val="0"/>
                                          <w:marBottom w:val="0"/>
                                          <w:divBdr>
                                            <w:top w:val="none" w:sz="0" w:space="0" w:color="auto"/>
                                            <w:left w:val="none" w:sz="0" w:space="0" w:color="auto"/>
                                            <w:bottom w:val="none" w:sz="0" w:space="0" w:color="auto"/>
                                            <w:right w:val="none" w:sz="0" w:space="0" w:color="auto"/>
                                          </w:divBdr>
                                        </w:div>
                                        <w:div w:id="392697363">
                                          <w:marLeft w:val="0"/>
                                          <w:marRight w:val="0"/>
                                          <w:marTop w:val="0"/>
                                          <w:marBottom w:val="0"/>
                                          <w:divBdr>
                                            <w:top w:val="none" w:sz="0" w:space="0" w:color="auto"/>
                                            <w:left w:val="none" w:sz="0" w:space="0" w:color="auto"/>
                                            <w:bottom w:val="none" w:sz="0" w:space="0" w:color="auto"/>
                                            <w:right w:val="none" w:sz="0" w:space="0" w:color="auto"/>
                                          </w:divBdr>
                                          <w:divsChild>
                                            <w:div w:id="700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067695">
          <w:marLeft w:val="0"/>
          <w:marRight w:val="0"/>
          <w:marTop w:val="0"/>
          <w:marBottom w:val="0"/>
          <w:divBdr>
            <w:top w:val="none" w:sz="0" w:space="0" w:color="auto"/>
            <w:left w:val="none" w:sz="0" w:space="0" w:color="auto"/>
            <w:bottom w:val="none" w:sz="0" w:space="0" w:color="auto"/>
            <w:right w:val="none" w:sz="0" w:space="0" w:color="auto"/>
          </w:divBdr>
          <w:divsChild>
            <w:div w:id="229586357">
              <w:marLeft w:val="0"/>
              <w:marRight w:val="0"/>
              <w:marTop w:val="0"/>
              <w:marBottom w:val="0"/>
              <w:divBdr>
                <w:top w:val="none" w:sz="0" w:space="0" w:color="auto"/>
                <w:left w:val="none" w:sz="0" w:space="0" w:color="auto"/>
                <w:bottom w:val="none" w:sz="0" w:space="0" w:color="auto"/>
                <w:right w:val="none" w:sz="0" w:space="0" w:color="auto"/>
              </w:divBdr>
              <w:divsChild>
                <w:div w:id="1114859774">
                  <w:marLeft w:val="0"/>
                  <w:marRight w:val="0"/>
                  <w:marTop w:val="0"/>
                  <w:marBottom w:val="0"/>
                  <w:divBdr>
                    <w:top w:val="none" w:sz="0" w:space="0" w:color="auto"/>
                    <w:left w:val="none" w:sz="0" w:space="0" w:color="auto"/>
                    <w:bottom w:val="none" w:sz="0" w:space="0" w:color="auto"/>
                    <w:right w:val="none" w:sz="0" w:space="0" w:color="auto"/>
                  </w:divBdr>
                  <w:divsChild>
                    <w:div w:id="1778716541">
                      <w:marLeft w:val="0"/>
                      <w:marRight w:val="0"/>
                      <w:marTop w:val="0"/>
                      <w:marBottom w:val="0"/>
                      <w:divBdr>
                        <w:top w:val="none" w:sz="0" w:space="0" w:color="auto"/>
                        <w:left w:val="none" w:sz="0" w:space="0" w:color="auto"/>
                        <w:bottom w:val="none" w:sz="0" w:space="0" w:color="auto"/>
                        <w:right w:val="none" w:sz="0" w:space="0" w:color="auto"/>
                      </w:divBdr>
                      <w:divsChild>
                        <w:div w:id="14302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7598">
          <w:marLeft w:val="0"/>
          <w:marRight w:val="0"/>
          <w:marTop w:val="0"/>
          <w:marBottom w:val="0"/>
          <w:divBdr>
            <w:top w:val="none" w:sz="0" w:space="0" w:color="auto"/>
            <w:left w:val="none" w:sz="0" w:space="0" w:color="auto"/>
            <w:bottom w:val="none" w:sz="0" w:space="0" w:color="auto"/>
            <w:right w:val="none" w:sz="0" w:space="0" w:color="auto"/>
          </w:divBdr>
          <w:divsChild>
            <w:div w:id="2078556081">
              <w:marLeft w:val="0"/>
              <w:marRight w:val="0"/>
              <w:marTop w:val="0"/>
              <w:marBottom w:val="0"/>
              <w:divBdr>
                <w:top w:val="none" w:sz="0" w:space="0" w:color="auto"/>
                <w:left w:val="none" w:sz="0" w:space="0" w:color="auto"/>
                <w:bottom w:val="none" w:sz="0" w:space="0" w:color="auto"/>
                <w:right w:val="none" w:sz="0" w:space="0" w:color="auto"/>
              </w:divBdr>
              <w:divsChild>
                <w:div w:id="1370956816">
                  <w:marLeft w:val="0"/>
                  <w:marRight w:val="0"/>
                  <w:marTop w:val="0"/>
                  <w:marBottom w:val="0"/>
                  <w:divBdr>
                    <w:top w:val="none" w:sz="0" w:space="0" w:color="auto"/>
                    <w:left w:val="none" w:sz="0" w:space="0" w:color="auto"/>
                    <w:bottom w:val="none" w:sz="0" w:space="0" w:color="auto"/>
                    <w:right w:val="none" w:sz="0" w:space="0" w:color="auto"/>
                  </w:divBdr>
                  <w:divsChild>
                    <w:div w:id="161821265">
                      <w:marLeft w:val="0"/>
                      <w:marRight w:val="0"/>
                      <w:marTop w:val="0"/>
                      <w:marBottom w:val="0"/>
                      <w:divBdr>
                        <w:top w:val="none" w:sz="0" w:space="0" w:color="auto"/>
                        <w:left w:val="none" w:sz="0" w:space="0" w:color="auto"/>
                        <w:bottom w:val="none" w:sz="0" w:space="0" w:color="auto"/>
                        <w:right w:val="none" w:sz="0" w:space="0" w:color="auto"/>
                      </w:divBdr>
                      <w:divsChild>
                        <w:div w:id="1034044264">
                          <w:marLeft w:val="0"/>
                          <w:marRight w:val="0"/>
                          <w:marTop w:val="0"/>
                          <w:marBottom w:val="0"/>
                          <w:divBdr>
                            <w:top w:val="none" w:sz="0" w:space="0" w:color="auto"/>
                            <w:left w:val="none" w:sz="0" w:space="0" w:color="auto"/>
                            <w:bottom w:val="none" w:sz="0" w:space="0" w:color="auto"/>
                            <w:right w:val="none" w:sz="0" w:space="0" w:color="auto"/>
                          </w:divBdr>
                          <w:divsChild>
                            <w:div w:id="1498232557">
                              <w:marLeft w:val="0"/>
                              <w:marRight w:val="0"/>
                              <w:marTop w:val="0"/>
                              <w:marBottom w:val="0"/>
                              <w:divBdr>
                                <w:top w:val="none" w:sz="0" w:space="0" w:color="auto"/>
                                <w:left w:val="none" w:sz="0" w:space="0" w:color="auto"/>
                                <w:bottom w:val="none" w:sz="0" w:space="0" w:color="auto"/>
                                <w:right w:val="none" w:sz="0" w:space="0" w:color="auto"/>
                              </w:divBdr>
                              <w:divsChild>
                                <w:div w:id="569392728">
                                  <w:marLeft w:val="0"/>
                                  <w:marRight w:val="0"/>
                                  <w:marTop w:val="0"/>
                                  <w:marBottom w:val="0"/>
                                  <w:divBdr>
                                    <w:top w:val="none" w:sz="0" w:space="0" w:color="auto"/>
                                    <w:left w:val="none" w:sz="0" w:space="0" w:color="auto"/>
                                    <w:bottom w:val="none" w:sz="0" w:space="0" w:color="auto"/>
                                    <w:right w:val="none" w:sz="0" w:space="0" w:color="auto"/>
                                  </w:divBdr>
                                  <w:divsChild>
                                    <w:div w:id="178669117">
                                      <w:marLeft w:val="0"/>
                                      <w:marRight w:val="0"/>
                                      <w:marTop w:val="0"/>
                                      <w:marBottom w:val="0"/>
                                      <w:divBdr>
                                        <w:top w:val="none" w:sz="0" w:space="0" w:color="auto"/>
                                        <w:left w:val="none" w:sz="0" w:space="0" w:color="auto"/>
                                        <w:bottom w:val="none" w:sz="0" w:space="0" w:color="auto"/>
                                        <w:right w:val="none" w:sz="0" w:space="0" w:color="auto"/>
                                      </w:divBdr>
                                      <w:divsChild>
                                        <w:div w:id="1266038377">
                                          <w:marLeft w:val="0"/>
                                          <w:marRight w:val="0"/>
                                          <w:marTop w:val="0"/>
                                          <w:marBottom w:val="0"/>
                                          <w:divBdr>
                                            <w:top w:val="none" w:sz="0" w:space="0" w:color="auto"/>
                                            <w:left w:val="none" w:sz="0" w:space="0" w:color="auto"/>
                                            <w:bottom w:val="none" w:sz="0" w:space="0" w:color="auto"/>
                                            <w:right w:val="none" w:sz="0" w:space="0" w:color="auto"/>
                                          </w:divBdr>
                                        </w:div>
                                        <w:div w:id="1386099836">
                                          <w:marLeft w:val="0"/>
                                          <w:marRight w:val="0"/>
                                          <w:marTop w:val="0"/>
                                          <w:marBottom w:val="0"/>
                                          <w:divBdr>
                                            <w:top w:val="none" w:sz="0" w:space="0" w:color="auto"/>
                                            <w:left w:val="none" w:sz="0" w:space="0" w:color="auto"/>
                                            <w:bottom w:val="none" w:sz="0" w:space="0" w:color="auto"/>
                                            <w:right w:val="none" w:sz="0" w:space="0" w:color="auto"/>
                                          </w:divBdr>
                                          <w:divsChild>
                                            <w:div w:id="19981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711">
      <w:bodyDiv w:val="1"/>
      <w:marLeft w:val="0"/>
      <w:marRight w:val="0"/>
      <w:marTop w:val="0"/>
      <w:marBottom w:val="0"/>
      <w:divBdr>
        <w:top w:val="none" w:sz="0" w:space="0" w:color="auto"/>
        <w:left w:val="none" w:sz="0" w:space="0" w:color="auto"/>
        <w:bottom w:val="none" w:sz="0" w:space="0" w:color="auto"/>
        <w:right w:val="none" w:sz="0" w:space="0" w:color="auto"/>
      </w:divBdr>
    </w:div>
    <w:div w:id="1429080724">
      <w:bodyDiv w:val="1"/>
      <w:marLeft w:val="0"/>
      <w:marRight w:val="0"/>
      <w:marTop w:val="0"/>
      <w:marBottom w:val="0"/>
      <w:divBdr>
        <w:top w:val="none" w:sz="0" w:space="0" w:color="auto"/>
        <w:left w:val="none" w:sz="0" w:space="0" w:color="auto"/>
        <w:bottom w:val="none" w:sz="0" w:space="0" w:color="auto"/>
        <w:right w:val="none" w:sz="0" w:space="0" w:color="auto"/>
      </w:divBdr>
    </w:div>
    <w:div w:id="1582057577">
      <w:bodyDiv w:val="1"/>
      <w:marLeft w:val="0"/>
      <w:marRight w:val="0"/>
      <w:marTop w:val="0"/>
      <w:marBottom w:val="0"/>
      <w:divBdr>
        <w:top w:val="none" w:sz="0" w:space="0" w:color="auto"/>
        <w:left w:val="none" w:sz="0" w:space="0" w:color="auto"/>
        <w:bottom w:val="none" w:sz="0" w:space="0" w:color="auto"/>
        <w:right w:val="none" w:sz="0" w:space="0" w:color="auto"/>
      </w:divBdr>
    </w:div>
    <w:div w:id="1691107451">
      <w:bodyDiv w:val="1"/>
      <w:marLeft w:val="0"/>
      <w:marRight w:val="0"/>
      <w:marTop w:val="0"/>
      <w:marBottom w:val="0"/>
      <w:divBdr>
        <w:top w:val="none" w:sz="0" w:space="0" w:color="auto"/>
        <w:left w:val="none" w:sz="0" w:space="0" w:color="auto"/>
        <w:bottom w:val="none" w:sz="0" w:space="0" w:color="auto"/>
        <w:right w:val="none" w:sz="0" w:space="0" w:color="auto"/>
      </w:divBdr>
    </w:div>
    <w:div w:id="1871529438">
      <w:bodyDiv w:val="1"/>
      <w:marLeft w:val="0"/>
      <w:marRight w:val="0"/>
      <w:marTop w:val="0"/>
      <w:marBottom w:val="0"/>
      <w:divBdr>
        <w:top w:val="none" w:sz="0" w:space="0" w:color="auto"/>
        <w:left w:val="none" w:sz="0" w:space="0" w:color="auto"/>
        <w:bottom w:val="none" w:sz="0" w:space="0" w:color="auto"/>
        <w:right w:val="none" w:sz="0" w:space="0" w:color="auto"/>
      </w:divBdr>
      <w:divsChild>
        <w:div w:id="1199053248">
          <w:marLeft w:val="0"/>
          <w:marRight w:val="0"/>
          <w:marTop w:val="0"/>
          <w:marBottom w:val="0"/>
          <w:divBdr>
            <w:top w:val="none" w:sz="0" w:space="0" w:color="auto"/>
            <w:left w:val="none" w:sz="0" w:space="0" w:color="auto"/>
            <w:bottom w:val="none" w:sz="0" w:space="0" w:color="auto"/>
            <w:right w:val="none" w:sz="0" w:space="0" w:color="auto"/>
          </w:divBdr>
          <w:divsChild>
            <w:div w:id="1194996117">
              <w:marLeft w:val="0"/>
              <w:marRight w:val="0"/>
              <w:marTop w:val="0"/>
              <w:marBottom w:val="0"/>
              <w:divBdr>
                <w:top w:val="none" w:sz="0" w:space="0" w:color="auto"/>
                <w:left w:val="none" w:sz="0" w:space="0" w:color="auto"/>
                <w:bottom w:val="none" w:sz="0" w:space="0" w:color="auto"/>
                <w:right w:val="none" w:sz="0" w:space="0" w:color="auto"/>
              </w:divBdr>
              <w:divsChild>
                <w:div w:id="3609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78840">
      <w:bodyDiv w:val="1"/>
      <w:marLeft w:val="0"/>
      <w:marRight w:val="0"/>
      <w:marTop w:val="0"/>
      <w:marBottom w:val="0"/>
      <w:divBdr>
        <w:top w:val="none" w:sz="0" w:space="0" w:color="auto"/>
        <w:left w:val="none" w:sz="0" w:space="0" w:color="auto"/>
        <w:bottom w:val="none" w:sz="0" w:space="0" w:color="auto"/>
        <w:right w:val="none" w:sz="0" w:space="0" w:color="auto"/>
      </w:divBdr>
      <w:divsChild>
        <w:div w:id="372582029">
          <w:marLeft w:val="0"/>
          <w:marRight w:val="0"/>
          <w:marTop w:val="0"/>
          <w:marBottom w:val="0"/>
          <w:divBdr>
            <w:top w:val="none" w:sz="0" w:space="0" w:color="auto"/>
            <w:left w:val="none" w:sz="0" w:space="0" w:color="auto"/>
            <w:bottom w:val="none" w:sz="0" w:space="0" w:color="auto"/>
            <w:right w:val="none" w:sz="0" w:space="0" w:color="auto"/>
          </w:divBdr>
          <w:divsChild>
            <w:div w:id="1663852745">
              <w:marLeft w:val="0"/>
              <w:marRight w:val="0"/>
              <w:marTop w:val="0"/>
              <w:marBottom w:val="0"/>
              <w:divBdr>
                <w:top w:val="none" w:sz="0" w:space="0" w:color="auto"/>
                <w:left w:val="none" w:sz="0" w:space="0" w:color="auto"/>
                <w:bottom w:val="none" w:sz="0" w:space="0" w:color="auto"/>
                <w:right w:val="none" w:sz="0" w:space="0" w:color="auto"/>
              </w:divBdr>
              <w:divsChild>
                <w:div w:id="14158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0362">
          <w:marLeft w:val="0"/>
          <w:marRight w:val="0"/>
          <w:marTop w:val="0"/>
          <w:marBottom w:val="0"/>
          <w:divBdr>
            <w:top w:val="none" w:sz="0" w:space="0" w:color="auto"/>
            <w:left w:val="none" w:sz="0" w:space="0" w:color="auto"/>
            <w:bottom w:val="none" w:sz="0" w:space="0" w:color="auto"/>
            <w:right w:val="none" w:sz="0" w:space="0" w:color="auto"/>
          </w:divBdr>
          <w:divsChild>
            <w:div w:id="242691880">
              <w:marLeft w:val="0"/>
              <w:marRight w:val="0"/>
              <w:marTop w:val="0"/>
              <w:marBottom w:val="0"/>
              <w:divBdr>
                <w:top w:val="none" w:sz="0" w:space="0" w:color="auto"/>
                <w:left w:val="none" w:sz="0" w:space="0" w:color="auto"/>
                <w:bottom w:val="none" w:sz="0" w:space="0" w:color="auto"/>
                <w:right w:val="none" w:sz="0" w:space="0" w:color="auto"/>
              </w:divBdr>
              <w:divsChild>
                <w:div w:id="3342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31687">
          <w:marLeft w:val="0"/>
          <w:marRight w:val="0"/>
          <w:marTop w:val="0"/>
          <w:marBottom w:val="0"/>
          <w:divBdr>
            <w:top w:val="none" w:sz="0" w:space="0" w:color="auto"/>
            <w:left w:val="none" w:sz="0" w:space="0" w:color="auto"/>
            <w:bottom w:val="none" w:sz="0" w:space="0" w:color="auto"/>
            <w:right w:val="none" w:sz="0" w:space="0" w:color="auto"/>
          </w:divBdr>
          <w:divsChild>
            <w:div w:id="430979142">
              <w:marLeft w:val="0"/>
              <w:marRight w:val="0"/>
              <w:marTop w:val="0"/>
              <w:marBottom w:val="0"/>
              <w:divBdr>
                <w:top w:val="none" w:sz="0" w:space="0" w:color="auto"/>
                <w:left w:val="none" w:sz="0" w:space="0" w:color="auto"/>
                <w:bottom w:val="none" w:sz="0" w:space="0" w:color="auto"/>
                <w:right w:val="none" w:sz="0" w:space="0" w:color="auto"/>
              </w:divBdr>
              <w:divsChild>
                <w:div w:id="669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etp.com/projects-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et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gastech.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ergy.ca.gov/sites/default/files/2024-02/Appendix%20K%20-%20Results%20at%20Building-type%20and%20End-Use%20Levels_ada.xlsx" TargetMode="External"/><Relationship Id="rId2" Type="http://schemas.openxmlformats.org/officeDocument/2006/relationships/hyperlink" Target="https://www.energy.ca.gov/sites/default/files/2024-09/2025_California_Energy_Code_Fact_Sheet_ada.pdf" TargetMode="External"/><Relationship Id="rId1" Type="http://schemas.openxmlformats.org/officeDocument/2006/relationships/hyperlink" Target="https://efiling.energy.ca.gov/GetDocument.aspx?tn=231261&amp;DocumentContentId=62916" TargetMode="External"/><Relationship Id="rId4" Type="http://schemas.openxmlformats.org/officeDocument/2006/relationships/hyperlink" Target="https://cagastech.com/sites/default/files/TPM%20Redacted%207-10-2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d0205093-e6a6-4121-920d-df6f5c98b2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55C102C493264EA76FDC21C8B9DCD0" ma:contentTypeVersion="18" ma:contentTypeDescription="Create a new document." ma:contentTypeScope="" ma:versionID="d54262db5b83ad296906ff8929f8fb8b">
  <xsd:schema xmlns:xsd="http://www.w3.org/2001/XMLSchema" xmlns:xs="http://www.w3.org/2001/XMLSchema" xmlns:p="http://schemas.microsoft.com/office/2006/metadata/properties" xmlns:ns2="d0205093-e6a6-4121-920d-df6f5c98b23c" xmlns:ns3="f4c8fbb3-52e7-4751-bdeb-af50b01a3290" xmlns:ns4="fa6a9aea-fb0f-4ddd-aff8-712634b7d5fe" targetNamespace="http://schemas.microsoft.com/office/2006/metadata/properties" ma:root="true" ma:fieldsID="54eb53f1de8d6034926e71763510a456" ns2:_="" ns3:_="" ns4:_="">
    <xsd:import namespace="d0205093-e6a6-4121-920d-df6f5c98b23c"/>
    <xsd:import namespace="f4c8fbb3-52e7-4751-bdeb-af50b01a3290"/>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05093-e6a6-4121-920d-df6f5c98b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8fbb3-52e7-4751-bdeb-af50b01a32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11d090-ce6f-45f7-a0b2-290a9a0a789b}" ma:internalName="TaxCatchAll" ma:showField="CatchAllData" ma:web="f4c8fbb3-52e7-4751-bdeb-af50b01a3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D662E-2325-9847-98EF-F8183EDA1600}">
  <ds:schemaRefs>
    <ds:schemaRef ds:uri="http://schemas.openxmlformats.org/officeDocument/2006/bibliography"/>
  </ds:schemaRefs>
</ds:datastoreItem>
</file>

<file path=customXml/itemProps2.xml><?xml version="1.0" encoding="utf-8"?>
<ds:datastoreItem xmlns:ds="http://schemas.openxmlformats.org/officeDocument/2006/customXml" ds:itemID="{80909C1B-5D30-4830-A7A5-73D90C25C6C3}">
  <ds:schemaRefs>
    <ds:schemaRef ds:uri="http://schemas.microsoft.com/office/2006/metadata/properties"/>
    <ds:schemaRef ds:uri="http://schemas.microsoft.com/office/infopath/2007/PartnerControls"/>
    <ds:schemaRef ds:uri="fa6a9aea-fb0f-4ddd-aff8-712634b7d5fe"/>
    <ds:schemaRef ds:uri="d0205093-e6a6-4121-920d-df6f5c98b23c"/>
  </ds:schemaRefs>
</ds:datastoreItem>
</file>

<file path=customXml/itemProps3.xml><?xml version="1.0" encoding="utf-8"?>
<ds:datastoreItem xmlns:ds="http://schemas.openxmlformats.org/officeDocument/2006/customXml" ds:itemID="{39C729B0-1D3B-449D-A242-4BD9AD97F906}">
  <ds:schemaRefs>
    <ds:schemaRef ds:uri="http://schemas.microsoft.com/sharepoint/v3/contenttype/forms"/>
  </ds:schemaRefs>
</ds:datastoreItem>
</file>

<file path=customXml/itemProps4.xml><?xml version="1.0" encoding="utf-8"?>
<ds:datastoreItem xmlns:ds="http://schemas.openxmlformats.org/officeDocument/2006/customXml" ds:itemID="{4AA92179-BBB3-47A4-812D-139ECA1D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05093-e6a6-4121-920d-df6f5c98b23c"/>
    <ds:schemaRef ds:uri="f4c8fbb3-52e7-4751-bdeb-af50b01a3290"/>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46</TotalTime>
  <Pages>22</Pages>
  <Words>8321</Words>
  <Characters>47851</Characters>
  <Application>Microsoft Office Word</Application>
  <DocSecurity>0</DocSecurity>
  <Lines>1259</Lines>
  <Paragraphs>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Kyllo, Paul</dc:creator>
  <cp:keywords/>
  <cp:lastModifiedBy>Long, Steven</cp:lastModifiedBy>
  <cp:revision>57</cp:revision>
  <cp:lastPrinted>2023-12-11T16:57:00Z</cp:lastPrinted>
  <dcterms:created xsi:type="dcterms:W3CDTF">2025-11-05T06:16:00Z</dcterms:created>
  <dcterms:modified xsi:type="dcterms:W3CDTF">2025-11-05T13:40:00Z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2010-06-16T00:00:00Z</vt:filetime>
  </property>
  <property fmtid="{D5CDD505-2E9C-101B-9397-08002B2CF9AE}" pid="3" name="Creator">
    <vt:lpwstr>Adobe InDesign CS4 (6.0.3)</vt:lpwstr>
  </property>
  <property fmtid="{D5CDD505-2E9C-101B-9397-08002B2CF9AE}" pid="4" name="LastSaved">
    <vt:filetime>2021-10-05T00:00:00Z</vt:filetime>
  </property>
  <property fmtid="{D5CDD505-2E9C-101B-9397-08002B2CF9AE}" pid="5" name="Classification Level">
    <vt:lpwstr/>
  </property>
  <property fmtid="{D5CDD505-2E9C-101B-9397-08002B2CF9AE}" pid="6" name="Document Type">
    <vt:lpwstr/>
  </property>
  <property fmtid="{D5CDD505-2E9C-101B-9397-08002B2CF9AE}" pid="7" name="GrammarlyDocumentId">
    <vt:lpwstr>114e9f67a6c679bd694b98c13affab20363e00d27236c624ce9b5d708c71eea5</vt:lpwstr>
  </property>
  <property fmtid="{D5CDD505-2E9C-101B-9397-08002B2CF9AE}" pid="8" name="MediaServiceImageTags">
    <vt:lpwstr/>
  </property>
  <property fmtid="{D5CDD505-2E9C-101B-9397-08002B2CF9AE}" pid="9" name="ContentTypeId">
    <vt:lpwstr>0x0101007C55C102C493264EA76FDC21C8B9DCD0</vt:lpwstr>
  </property>
  <property fmtid="{D5CDD505-2E9C-101B-9397-08002B2CF9AE}" pid="10" name="docLang">
    <vt:lpwstr>en</vt:lpwstr>
  </property>
</Properties>
</file>